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0753" w14:textId="415DCF0E" w:rsidR="00F12745" w:rsidRDefault="00544BE2" w:rsidP="001036E0">
      <w:pPr>
        <w:pStyle w:val="Heading1"/>
        <w:spacing w:before="88"/>
      </w:pPr>
      <w:r>
        <w:rPr>
          <w:b w:val="0"/>
          <w:noProof/>
          <w:sz w:val="36"/>
        </w:rPr>
        <w:drawing>
          <wp:anchor distT="0" distB="0" distL="114300" distR="114300" simplePos="0" relativeHeight="251659264" behindDoc="0" locked="0" layoutInCell="1" allowOverlap="1" wp14:anchorId="175DEF5E" wp14:editId="0FA52217">
            <wp:simplePos x="0" y="0"/>
            <wp:positionH relativeFrom="column">
              <wp:posOffset>5035919</wp:posOffset>
            </wp:positionH>
            <wp:positionV relativeFrom="paragraph">
              <wp:posOffset>-638648</wp:posOffset>
            </wp:positionV>
            <wp:extent cx="1000125" cy="10001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ty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08003D">
        <w:t>City of Portland, Oregon</w:t>
      </w:r>
    </w:p>
    <w:p w14:paraId="6E2BBECF" w14:textId="55AA8B91" w:rsidR="00F12745" w:rsidRDefault="00374CD4">
      <w:pPr>
        <w:spacing w:before="10"/>
        <w:ind w:left="100" w:right="997"/>
        <w:rPr>
          <w:b/>
          <w:sz w:val="36"/>
        </w:rPr>
      </w:pPr>
      <w:r>
        <w:rPr>
          <w:b/>
          <w:sz w:val="36"/>
        </w:rPr>
        <w:t xml:space="preserve">Historic Landmarks Commission </w:t>
      </w:r>
      <w:r w:rsidR="00FA0293">
        <w:rPr>
          <w:b/>
          <w:sz w:val="36"/>
        </w:rPr>
        <w:t xml:space="preserve">Bylaws </w:t>
      </w:r>
    </w:p>
    <w:p w14:paraId="1F440C3A" w14:textId="6F6165CD" w:rsidR="00F12745" w:rsidRDefault="0008003D">
      <w:pPr>
        <w:spacing w:before="315"/>
        <w:ind w:left="100"/>
        <w:rPr>
          <w:i/>
          <w:sz w:val="20"/>
        </w:rPr>
      </w:pPr>
      <w:r>
        <w:rPr>
          <w:i/>
          <w:sz w:val="20"/>
        </w:rPr>
        <w:t>Language in italics is from Portland Cit</w:t>
      </w:r>
      <w:r w:rsidR="000D2300">
        <w:rPr>
          <w:i/>
          <w:sz w:val="20"/>
        </w:rPr>
        <w:t xml:space="preserve">y Title 33, Planning and Zoning. In instances of conflict, current zoning code language supersedes the Bylaws. </w:t>
      </w:r>
    </w:p>
    <w:p w14:paraId="1095DED2" w14:textId="64473397" w:rsidR="00F12745" w:rsidRDefault="00F12745">
      <w:pPr>
        <w:pStyle w:val="BodyText"/>
        <w:spacing w:before="2"/>
        <w:rPr>
          <w:i/>
          <w:sz w:val="19"/>
        </w:rPr>
      </w:pPr>
    </w:p>
    <w:p w14:paraId="6091D848" w14:textId="77777777" w:rsidR="00F12745" w:rsidRDefault="00F12745">
      <w:pPr>
        <w:rPr>
          <w:sz w:val="19"/>
        </w:rPr>
        <w:sectPr w:rsidR="00F12745" w:rsidSect="00937F82">
          <w:headerReference w:type="default" r:id="rId9"/>
          <w:footerReference w:type="default" r:id="rId10"/>
          <w:footerReference w:type="first" r:id="rId11"/>
          <w:type w:val="continuous"/>
          <w:pgSz w:w="12240" w:h="15840"/>
          <w:pgMar w:top="1260" w:right="1440" w:bottom="1440" w:left="1440" w:header="720" w:footer="900" w:gutter="0"/>
          <w:pgNumType w:start="1"/>
          <w:cols w:space="720"/>
          <w:docGrid w:linePitch="299"/>
        </w:sectPr>
      </w:pPr>
    </w:p>
    <w:p w14:paraId="5623329F" w14:textId="77777777" w:rsidR="00F12745" w:rsidRDefault="00F12745">
      <w:pPr>
        <w:pStyle w:val="BodyText"/>
        <w:rPr>
          <w:i/>
          <w:sz w:val="28"/>
        </w:rPr>
      </w:pPr>
    </w:p>
    <w:p w14:paraId="1F59F041" w14:textId="77777777" w:rsidR="00F12745" w:rsidRDefault="00F12745">
      <w:pPr>
        <w:pStyle w:val="BodyText"/>
        <w:rPr>
          <w:i/>
          <w:sz w:val="28"/>
        </w:rPr>
      </w:pPr>
    </w:p>
    <w:p w14:paraId="5862B611" w14:textId="77777777" w:rsidR="00F12745" w:rsidRDefault="0008003D" w:rsidP="00543F7A">
      <w:pPr>
        <w:pStyle w:val="Heading1"/>
        <w:numPr>
          <w:ilvl w:val="0"/>
          <w:numId w:val="7"/>
        </w:numPr>
        <w:tabs>
          <w:tab w:val="left" w:pos="460"/>
        </w:tabs>
        <w:spacing w:before="239"/>
        <w:ind w:left="461"/>
      </w:pPr>
      <w:r>
        <w:t>Authority</w:t>
      </w:r>
    </w:p>
    <w:p w14:paraId="5DEF9CD1" w14:textId="77777777" w:rsidR="00F12745" w:rsidRDefault="0008003D">
      <w:pPr>
        <w:spacing w:before="100"/>
        <w:ind w:left="77" w:right="2708"/>
        <w:jc w:val="center"/>
        <w:rPr>
          <w:b/>
          <w:sz w:val="24"/>
        </w:rPr>
      </w:pPr>
      <w:r>
        <w:br w:type="column"/>
      </w:r>
      <w:r>
        <w:rPr>
          <w:b/>
          <w:sz w:val="24"/>
        </w:rPr>
        <w:t>Part I</w:t>
      </w:r>
    </w:p>
    <w:p w14:paraId="4C5FD451" w14:textId="77777777" w:rsidR="00F12745" w:rsidRDefault="0008003D">
      <w:pPr>
        <w:ind w:left="80" w:right="2708"/>
        <w:jc w:val="center"/>
        <w:rPr>
          <w:b/>
          <w:sz w:val="24"/>
        </w:rPr>
      </w:pPr>
      <w:r>
        <w:rPr>
          <w:b/>
          <w:sz w:val="24"/>
        </w:rPr>
        <w:t>Authority, Powers, and Duties</w:t>
      </w:r>
    </w:p>
    <w:p w14:paraId="136111D4" w14:textId="2612FC17" w:rsidR="00F12745" w:rsidRDefault="00F12745">
      <w:pPr>
        <w:jc w:val="center"/>
        <w:rPr>
          <w:sz w:val="24"/>
        </w:rPr>
        <w:sectPr w:rsidR="00F12745" w:rsidSect="00225C09">
          <w:type w:val="continuous"/>
          <w:pgSz w:w="12240" w:h="15840"/>
          <w:pgMar w:top="1440" w:right="1440" w:bottom="1440" w:left="1440" w:header="720" w:footer="720" w:gutter="0"/>
          <w:cols w:num="2" w:space="720" w:equalWidth="0">
            <w:col w:w="1785" w:space="1106"/>
            <w:col w:w="6469"/>
          </w:cols>
        </w:sectPr>
      </w:pPr>
    </w:p>
    <w:p w14:paraId="0DF5A2CC" w14:textId="77777777" w:rsidR="00F12745" w:rsidRDefault="00AB0EAA" w:rsidP="00543F7A">
      <w:pPr>
        <w:ind w:left="461" w:right="302"/>
        <w:rPr>
          <w:i/>
          <w:sz w:val="20"/>
        </w:rPr>
      </w:pPr>
      <w:r w:rsidRPr="00AB0EAA">
        <w:rPr>
          <w:i/>
          <w:sz w:val="20"/>
        </w:rPr>
        <w:t xml:space="preserve">The Historic Landmarks Commission has all of the powers and duties which are assigned to it by this Title or by City Council. </w:t>
      </w:r>
      <w:r>
        <w:rPr>
          <w:i/>
          <w:sz w:val="20"/>
        </w:rPr>
        <w:t>(33.710.06</w:t>
      </w:r>
      <w:r w:rsidR="0008003D">
        <w:rPr>
          <w:i/>
          <w:sz w:val="20"/>
        </w:rPr>
        <w:t>0)</w:t>
      </w:r>
    </w:p>
    <w:p w14:paraId="2373291A" w14:textId="77777777" w:rsidR="00F12745" w:rsidRDefault="00F12745">
      <w:pPr>
        <w:pStyle w:val="BodyText"/>
        <w:spacing w:before="9"/>
        <w:rPr>
          <w:i/>
          <w:sz w:val="19"/>
        </w:rPr>
      </w:pPr>
    </w:p>
    <w:p w14:paraId="13FC9EBE" w14:textId="77777777" w:rsidR="00F12745" w:rsidRDefault="0008003D">
      <w:pPr>
        <w:pStyle w:val="Heading1"/>
        <w:numPr>
          <w:ilvl w:val="0"/>
          <w:numId w:val="7"/>
        </w:numPr>
        <w:tabs>
          <w:tab w:val="left" w:pos="461"/>
        </w:tabs>
        <w:ind w:left="460"/>
      </w:pPr>
      <w:r>
        <w:t>Purpose</w:t>
      </w:r>
    </w:p>
    <w:p w14:paraId="5D629FC3" w14:textId="77777777" w:rsidR="00F12745" w:rsidRDefault="00115194" w:rsidP="00B90CF1">
      <w:pPr>
        <w:spacing w:before="240"/>
        <w:ind w:left="461" w:right="216"/>
        <w:rPr>
          <w:i/>
          <w:sz w:val="20"/>
        </w:rPr>
      </w:pPr>
      <w:r w:rsidRPr="00115194">
        <w:rPr>
          <w:i/>
          <w:sz w:val="20"/>
        </w:rPr>
        <w:t xml:space="preserve">The Historic Landmarks Commission provides leadership and expertise on maintaining and enhancing Portland's historic and architectural heritage. The Commission identifies and protects buildings and other properties that have historic or cultural significance or special architectural merit. The Commission provides advice on historic preservation matters, and coordinates historic preservation programs in the City. The Commission is also actively involved in the development of design guidelines for historic districts. </w:t>
      </w:r>
      <w:r>
        <w:rPr>
          <w:i/>
          <w:sz w:val="20"/>
        </w:rPr>
        <w:t>(33.710.06</w:t>
      </w:r>
      <w:r w:rsidR="0008003D">
        <w:rPr>
          <w:i/>
          <w:sz w:val="20"/>
        </w:rPr>
        <w:t>0.A)</w:t>
      </w:r>
    </w:p>
    <w:p w14:paraId="2B97D348" w14:textId="77777777" w:rsidR="00794D0F" w:rsidRDefault="00794D0F">
      <w:pPr>
        <w:pStyle w:val="BodyText"/>
        <w:spacing w:before="10"/>
        <w:rPr>
          <w:i/>
          <w:sz w:val="19"/>
        </w:rPr>
      </w:pPr>
    </w:p>
    <w:p w14:paraId="7A914A05" w14:textId="77777777" w:rsidR="00F12745" w:rsidRDefault="0008003D">
      <w:pPr>
        <w:pStyle w:val="ListParagraph"/>
        <w:numPr>
          <w:ilvl w:val="0"/>
          <w:numId w:val="7"/>
        </w:numPr>
        <w:tabs>
          <w:tab w:val="left" w:pos="460"/>
        </w:tabs>
        <w:ind w:hanging="359"/>
        <w:rPr>
          <w:i/>
          <w:sz w:val="20"/>
        </w:rPr>
      </w:pPr>
      <w:r>
        <w:rPr>
          <w:b/>
          <w:sz w:val="24"/>
        </w:rPr>
        <w:t>Powers and Duties</w:t>
      </w:r>
      <w:r>
        <w:rPr>
          <w:b/>
          <w:spacing w:val="-17"/>
          <w:sz w:val="24"/>
        </w:rPr>
        <w:t xml:space="preserve"> </w:t>
      </w:r>
      <w:r w:rsidR="00A97569">
        <w:rPr>
          <w:i/>
          <w:sz w:val="20"/>
        </w:rPr>
        <w:t>(33.710.06</w:t>
      </w:r>
      <w:r>
        <w:rPr>
          <w:i/>
          <w:sz w:val="20"/>
        </w:rPr>
        <w:t>0.D)</w:t>
      </w:r>
    </w:p>
    <w:p w14:paraId="32D18BFE" w14:textId="3CB8EA9C" w:rsidR="00E51169" w:rsidRDefault="00E51169" w:rsidP="00B90CF1">
      <w:pPr>
        <w:spacing w:before="240"/>
        <w:ind w:left="461"/>
        <w:rPr>
          <w:i/>
          <w:sz w:val="20"/>
        </w:rPr>
      </w:pPr>
      <w:r w:rsidRPr="00E51169">
        <w:rPr>
          <w:i/>
          <w:sz w:val="20"/>
        </w:rPr>
        <w:t>The Commission powers and duties include:</w:t>
      </w:r>
    </w:p>
    <w:p w14:paraId="2BF45196" w14:textId="77777777" w:rsidR="00E51169" w:rsidRDefault="00E51169" w:rsidP="00E51169">
      <w:pPr>
        <w:ind w:left="459"/>
        <w:rPr>
          <w:i/>
          <w:sz w:val="20"/>
        </w:rPr>
      </w:pPr>
    </w:p>
    <w:p w14:paraId="56EAB7D0" w14:textId="685A5829" w:rsidR="00A97569" w:rsidRDefault="00E51169" w:rsidP="00B90CF1">
      <w:pPr>
        <w:ind w:left="990" w:hanging="270"/>
        <w:rPr>
          <w:i/>
          <w:sz w:val="20"/>
        </w:rPr>
      </w:pPr>
      <w:r w:rsidRPr="00E51169">
        <w:rPr>
          <w:i/>
          <w:sz w:val="20"/>
        </w:rPr>
        <w:t xml:space="preserve">1. </w:t>
      </w:r>
      <w:r w:rsidR="00A97569" w:rsidRPr="00A97569">
        <w:rPr>
          <w:i/>
          <w:sz w:val="20"/>
        </w:rPr>
        <w:t>Establishing</w:t>
      </w:r>
      <w:r w:rsidR="00F660C3">
        <w:rPr>
          <w:i/>
          <w:sz w:val="20"/>
        </w:rPr>
        <w:t>, amending,</w:t>
      </w:r>
      <w:r w:rsidR="00A97569" w:rsidRPr="00A97569">
        <w:rPr>
          <w:i/>
          <w:sz w:val="20"/>
        </w:rPr>
        <w:t xml:space="preserve"> or removing Historic Landmark and Conservation Landmark designations </w:t>
      </w:r>
      <w:r w:rsidR="00F660C3">
        <w:rPr>
          <w:i/>
          <w:sz w:val="20"/>
        </w:rPr>
        <w:t>and amending Historic District and Conservation District designations</w:t>
      </w:r>
      <w:r w:rsidR="00A97569" w:rsidRPr="00A97569">
        <w:rPr>
          <w:i/>
          <w:sz w:val="20"/>
        </w:rPr>
        <w:t xml:space="preserve"> in quasi-judicial reviews; </w:t>
      </w:r>
    </w:p>
    <w:p w14:paraId="059A9BFB" w14:textId="77777777" w:rsidR="00A97569" w:rsidRDefault="00A97569" w:rsidP="00A97569">
      <w:pPr>
        <w:ind w:left="720"/>
        <w:rPr>
          <w:i/>
          <w:sz w:val="20"/>
        </w:rPr>
      </w:pPr>
    </w:p>
    <w:p w14:paraId="175E9180" w14:textId="4D907E57" w:rsidR="00A97569" w:rsidRDefault="00A97569" w:rsidP="00B90CF1">
      <w:pPr>
        <w:ind w:left="990" w:hanging="270"/>
        <w:rPr>
          <w:i/>
          <w:sz w:val="20"/>
        </w:rPr>
      </w:pPr>
      <w:r>
        <w:rPr>
          <w:i/>
          <w:sz w:val="20"/>
        </w:rPr>
        <w:t xml:space="preserve">2. </w:t>
      </w:r>
      <w:r w:rsidRPr="00A97569">
        <w:rPr>
          <w:i/>
          <w:sz w:val="20"/>
        </w:rPr>
        <w:t>Recommending the establishment</w:t>
      </w:r>
      <w:r w:rsidR="00F660C3">
        <w:rPr>
          <w:i/>
          <w:sz w:val="20"/>
        </w:rPr>
        <w:t>, amendment,</w:t>
      </w:r>
      <w:r w:rsidRPr="00A97569">
        <w:rPr>
          <w:i/>
          <w:sz w:val="20"/>
        </w:rPr>
        <w:t xml:space="preserve"> or removal of Historic Landmark and Conservation Landmark designations</w:t>
      </w:r>
      <w:r w:rsidR="00F660C3">
        <w:rPr>
          <w:i/>
          <w:sz w:val="20"/>
        </w:rPr>
        <w:t xml:space="preserve"> and Significant Resource identification</w:t>
      </w:r>
      <w:r w:rsidRPr="00A97569">
        <w:rPr>
          <w:i/>
          <w:sz w:val="20"/>
        </w:rPr>
        <w:t xml:space="preserve"> to the City Council in legislative actions; </w:t>
      </w:r>
    </w:p>
    <w:p w14:paraId="2200A083" w14:textId="77777777" w:rsidR="00A97569" w:rsidRDefault="00A97569" w:rsidP="00B90CF1">
      <w:pPr>
        <w:ind w:left="990" w:hanging="270"/>
        <w:rPr>
          <w:i/>
          <w:sz w:val="20"/>
        </w:rPr>
      </w:pPr>
    </w:p>
    <w:p w14:paraId="0D1A803C" w14:textId="303E999D" w:rsidR="00A97569" w:rsidRDefault="00A97569" w:rsidP="00B90CF1">
      <w:pPr>
        <w:ind w:left="990" w:hanging="270"/>
        <w:rPr>
          <w:i/>
          <w:sz w:val="20"/>
        </w:rPr>
      </w:pPr>
      <w:r w:rsidRPr="00A97569">
        <w:rPr>
          <w:i/>
          <w:sz w:val="20"/>
        </w:rPr>
        <w:t xml:space="preserve">3. </w:t>
      </w:r>
      <w:r w:rsidR="00F660C3">
        <w:rPr>
          <w:i/>
          <w:sz w:val="20"/>
        </w:rPr>
        <w:t>Providing advice on</w:t>
      </w:r>
      <w:r w:rsidRPr="00A97569">
        <w:rPr>
          <w:i/>
          <w:sz w:val="20"/>
        </w:rPr>
        <w:t xml:space="preserve"> the establishment, amendment, or removal of Historic Districts and Conservation Districts to the Planning and Sustainability Commission </w:t>
      </w:r>
      <w:r w:rsidR="00F660C3">
        <w:rPr>
          <w:i/>
          <w:sz w:val="20"/>
        </w:rPr>
        <w:t>in legislative actions</w:t>
      </w:r>
      <w:r w:rsidRPr="00A97569">
        <w:rPr>
          <w:i/>
          <w:sz w:val="20"/>
        </w:rPr>
        <w:t xml:space="preserve">; </w:t>
      </w:r>
    </w:p>
    <w:p w14:paraId="4CB62B94" w14:textId="77777777" w:rsidR="00A97569" w:rsidRDefault="00A97569" w:rsidP="00B90CF1">
      <w:pPr>
        <w:ind w:left="990" w:hanging="270"/>
        <w:rPr>
          <w:i/>
          <w:sz w:val="20"/>
        </w:rPr>
      </w:pPr>
    </w:p>
    <w:p w14:paraId="03B2A5EF" w14:textId="2D37F113" w:rsidR="00A97569" w:rsidRDefault="00A97569" w:rsidP="00B90CF1">
      <w:pPr>
        <w:ind w:left="990" w:hanging="270"/>
        <w:rPr>
          <w:i/>
          <w:sz w:val="20"/>
        </w:rPr>
      </w:pPr>
      <w:r w:rsidRPr="00A97569">
        <w:rPr>
          <w:i/>
          <w:sz w:val="20"/>
        </w:rPr>
        <w:t>4. Recommending design guidelines for Historic Districts and Conservation Districts to the City Council</w:t>
      </w:r>
      <w:r w:rsidR="00F660C3">
        <w:rPr>
          <w:i/>
          <w:sz w:val="20"/>
        </w:rPr>
        <w:t xml:space="preserve"> in legislative actions</w:t>
      </w:r>
      <w:r w:rsidRPr="00A97569">
        <w:rPr>
          <w:i/>
          <w:sz w:val="20"/>
        </w:rPr>
        <w:t xml:space="preserve">; </w:t>
      </w:r>
    </w:p>
    <w:p w14:paraId="77947B24" w14:textId="77777777" w:rsidR="00A97569" w:rsidRDefault="00A97569" w:rsidP="00B90CF1">
      <w:pPr>
        <w:ind w:left="990" w:hanging="270"/>
        <w:rPr>
          <w:i/>
          <w:sz w:val="20"/>
        </w:rPr>
      </w:pPr>
    </w:p>
    <w:p w14:paraId="1645128F" w14:textId="5181FBAD" w:rsidR="00A97569" w:rsidRDefault="00A97569" w:rsidP="00B90CF1">
      <w:pPr>
        <w:ind w:left="990" w:hanging="270"/>
        <w:rPr>
          <w:i/>
          <w:sz w:val="20"/>
        </w:rPr>
      </w:pPr>
      <w:r w:rsidRPr="00A97569">
        <w:rPr>
          <w:i/>
          <w:sz w:val="20"/>
        </w:rPr>
        <w:t>5. Reviewing development proposals for Historic Landmarks and Conservation Landmarks and in Historic Districts and Conservation Districts</w:t>
      </w:r>
      <w:r w:rsidR="00F660C3">
        <w:rPr>
          <w:i/>
          <w:sz w:val="20"/>
        </w:rPr>
        <w:t xml:space="preserve"> in quasi-judicial reviews</w:t>
      </w:r>
      <w:r w:rsidRPr="00A97569">
        <w:rPr>
          <w:i/>
          <w:sz w:val="20"/>
        </w:rPr>
        <w:t xml:space="preserve">; </w:t>
      </w:r>
    </w:p>
    <w:p w14:paraId="72E5C2CD" w14:textId="77777777" w:rsidR="00A97569" w:rsidRDefault="00A97569" w:rsidP="00B90CF1">
      <w:pPr>
        <w:ind w:left="990" w:hanging="270"/>
        <w:rPr>
          <w:i/>
          <w:sz w:val="20"/>
        </w:rPr>
      </w:pPr>
    </w:p>
    <w:p w14:paraId="736F1DEB" w14:textId="52AD5954" w:rsidR="00A97569" w:rsidRDefault="00A97569" w:rsidP="00B90CF1">
      <w:pPr>
        <w:ind w:left="990" w:hanging="270"/>
        <w:rPr>
          <w:i/>
          <w:sz w:val="20"/>
        </w:rPr>
      </w:pPr>
      <w:r w:rsidRPr="00A97569">
        <w:rPr>
          <w:i/>
          <w:sz w:val="20"/>
        </w:rPr>
        <w:t>6. Reviewing demolition and relocation requests for certain Historic landmarks</w:t>
      </w:r>
      <w:r w:rsidR="00F660C3">
        <w:rPr>
          <w:i/>
          <w:sz w:val="20"/>
        </w:rPr>
        <w:t>, Conservation Landmarks, and resources in Historic Districts and Conservation Districts</w:t>
      </w:r>
      <w:r w:rsidRPr="00A97569">
        <w:rPr>
          <w:i/>
          <w:sz w:val="20"/>
        </w:rPr>
        <w:t xml:space="preserve"> in </w:t>
      </w:r>
      <w:r w:rsidR="00F660C3">
        <w:rPr>
          <w:i/>
          <w:sz w:val="20"/>
        </w:rPr>
        <w:t>quasi-judicial reviews</w:t>
      </w:r>
      <w:r w:rsidRPr="00A97569">
        <w:rPr>
          <w:i/>
          <w:sz w:val="20"/>
        </w:rPr>
        <w:t xml:space="preserve">; </w:t>
      </w:r>
    </w:p>
    <w:p w14:paraId="08DBAC7F" w14:textId="77777777" w:rsidR="00A97569" w:rsidRDefault="00A97569" w:rsidP="00B90CF1">
      <w:pPr>
        <w:ind w:left="990" w:hanging="270"/>
        <w:rPr>
          <w:i/>
          <w:sz w:val="20"/>
        </w:rPr>
      </w:pPr>
    </w:p>
    <w:p w14:paraId="6E753BCE" w14:textId="77777777" w:rsidR="00A97569" w:rsidRDefault="00A97569" w:rsidP="00B90CF1">
      <w:pPr>
        <w:ind w:left="990" w:hanging="270"/>
        <w:rPr>
          <w:i/>
          <w:sz w:val="20"/>
        </w:rPr>
      </w:pPr>
      <w:r w:rsidRPr="00A97569">
        <w:rPr>
          <w:i/>
          <w:sz w:val="20"/>
        </w:rPr>
        <w:t xml:space="preserve">7. Providing advice on historic preservation matters to the Hearings Officer, Design Commission, Planning and Sustainability Commission, Portland Development Commission, other City commissions and committees, and City Council; and </w:t>
      </w:r>
    </w:p>
    <w:p w14:paraId="22844C78" w14:textId="77777777" w:rsidR="00A97569" w:rsidRDefault="00A97569" w:rsidP="00B90CF1">
      <w:pPr>
        <w:ind w:left="990" w:hanging="270"/>
        <w:rPr>
          <w:i/>
          <w:sz w:val="20"/>
        </w:rPr>
      </w:pPr>
    </w:p>
    <w:p w14:paraId="48764A2C" w14:textId="198BE16F" w:rsidR="00E51169" w:rsidRDefault="00A97569" w:rsidP="00B90CF1">
      <w:pPr>
        <w:ind w:left="990" w:hanging="270"/>
        <w:rPr>
          <w:i/>
          <w:sz w:val="20"/>
        </w:rPr>
      </w:pPr>
      <w:r w:rsidRPr="00A97569">
        <w:rPr>
          <w:i/>
          <w:sz w:val="20"/>
        </w:rPr>
        <w:t xml:space="preserve">8. Initiating and coordinating historic preservation and public outreach programs in the City, </w:t>
      </w:r>
      <w:r w:rsidRPr="00A97569">
        <w:rPr>
          <w:i/>
          <w:sz w:val="20"/>
        </w:rPr>
        <w:lastRenderedPageBreak/>
        <w:t xml:space="preserve">including </w:t>
      </w:r>
      <w:r w:rsidR="00545D95">
        <w:rPr>
          <w:i/>
          <w:sz w:val="20"/>
        </w:rPr>
        <w:t>making reco</w:t>
      </w:r>
      <w:r w:rsidRPr="00A97569">
        <w:rPr>
          <w:i/>
          <w:sz w:val="20"/>
        </w:rPr>
        <w:t xml:space="preserve">mmendations </w:t>
      </w:r>
      <w:r w:rsidR="00545D95">
        <w:rPr>
          <w:i/>
          <w:sz w:val="20"/>
        </w:rPr>
        <w:t>on</w:t>
      </w:r>
      <w:r w:rsidRPr="00A97569">
        <w:rPr>
          <w:i/>
          <w:sz w:val="20"/>
        </w:rPr>
        <w:t xml:space="preserve"> </w:t>
      </w:r>
      <w:r w:rsidR="00545D95">
        <w:rPr>
          <w:i/>
          <w:sz w:val="20"/>
        </w:rPr>
        <w:t>N</w:t>
      </w:r>
      <w:r w:rsidRPr="00A97569">
        <w:rPr>
          <w:i/>
          <w:sz w:val="20"/>
        </w:rPr>
        <w:t xml:space="preserve">ational </w:t>
      </w:r>
      <w:r w:rsidR="00545D95">
        <w:rPr>
          <w:i/>
          <w:sz w:val="20"/>
        </w:rPr>
        <w:t>R</w:t>
      </w:r>
      <w:r w:rsidRPr="00A97569">
        <w:rPr>
          <w:i/>
          <w:sz w:val="20"/>
        </w:rPr>
        <w:t>egister</w:t>
      </w:r>
      <w:r w:rsidR="00545D95">
        <w:rPr>
          <w:i/>
          <w:sz w:val="20"/>
        </w:rPr>
        <w:t xml:space="preserve"> of Historic Places nominations and </w:t>
      </w:r>
      <w:r w:rsidRPr="00A97569">
        <w:rPr>
          <w:i/>
          <w:sz w:val="20"/>
        </w:rPr>
        <w:t>making recommendations to other governmental agencies regarding historic preservation programs and issues.</w:t>
      </w:r>
    </w:p>
    <w:p w14:paraId="4142D152" w14:textId="3C8DF473" w:rsidR="00684295" w:rsidRPr="00684295" w:rsidRDefault="00684295" w:rsidP="00B90CF1">
      <w:pPr>
        <w:rPr>
          <w:sz w:val="20"/>
        </w:rPr>
      </w:pPr>
    </w:p>
    <w:p w14:paraId="4BC240CD" w14:textId="4DBF94D0" w:rsidR="00B90CF1" w:rsidRPr="0088538D" w:rsidRDefault="00684295" w:rsidP="0088538D">
      <w:pPr>
        <w:ind w:firstLine="459"/>
        <w:rPr>
          <w:b/>
          <w:i/>
          <w:sz w:val="20"/>
        </w:rPr>
      </w:pPr>
      <w:r w:rsidRPr="0088538D">
        <w:rPr>
          <w:b/>
          <w:sz w:val="20"/>
        </w:rPr>
        <w:t>Land U</w:t>
      </w:r>
      <w:r w:rsidR="001036E0" w:rsidRPr="0088538D">
        <w:rPr>
          <w:b/>
          <w:sz w:val="20"/>
        </w:rPr>
        <w:t>se Reviews</w:t>
      </w:r>
      <w:r w:rsidRPr="0088538D">
        <w:rPr>
          <w:b/>
          <w:i/>
          <w:sz w:val="20"/>
        </w:rPr>
        <w:t xml:space="preserve"> </w:t>
      </w:r>
    </w:p>
    <w:p w14:paraId="3B650098" w14:textId="44CEC757" w:rsidR="0062770A" w:rsidRDefault="00BD429D" w:rsidP="00BD429D">
      <w:pPr>
        <w:ind w:left="459"/>
        <w:rPr>
          <w:i/>
          <w:sz w:val="20"/>
        </w:rPr>
      </w:pPr>
      <w:r w:rsidRPr="00BD429D">
        <w:rPr>
          <w:i/>
          <w:sz w:val="20"/>
        </w:rPr>
        <w:t xml:space="preserve">Generally, the Historic Landmarks Commission will consider matters related to historic resources. However, because they primarily involve use issues, historic preservation incentive reviews, when subject to a Type III procedure or when they are appeals of a Type II procedure, are assigned to the Hearings Officer. The following land use reviews, when subject to a Type III procedure or when they are appeals of a Type II procedure, are assigned to the Historic Landmarks Commission. </w:t>
      </w:r>
    </w:p>
    <w:p w14:paraId="2CD49DD6" w14:textId="77777777" w:rsidR="0062770A" w:rsidRDefault="0062770A" w:rsidP="0062770A">
      <w:pPr>
        <w:ind w:left="459" w:firstLine="261"/>
        <w:rPr>
          <w:b/>
          <w:sz w:val="20"/>
        </w:rPr>
      </w:pPr>
    </w:p>
    <w:p w14:paraId="73B7F3AE" w14:textId="77777777" w:rsidR="0062770A" w:rsidRDefault="00BD429D" w:rsidP="0062770A">
      <w:pPr>
        <w:ind w:left="459" w:firstLine="261"/>
        <w:rPr>
          <w:i/>
          <w:sz w:val="20"/>
        </w:rPr>
      </w:pPr>
      <w:r w:rsidRPr="00BD429D">
        <w:rPr>
          <w:i/>
          <w:sz w:val="20"/>
        </w:rPr>
        <w:t xml:space="preserve">1. Landmark designations, and the removal of landmark designations; and </w:t>
      </w:r>
    </w:p>
    <w:p w14:paraId="730C4B5A" w14:textId="77777777" w:rsidR="0062770A" w:rsidRDefault="0062770A" w:rsidP="0062770A">
      <w:pPr>
        <w:ind w:left="459" w:firstLine="261"/>
        <w:rPr>
          <w:i/>
          <w:sz w:val="20"/>
        </w:rPr>
      </w:pPr>
    </w:p>
    <w:p w14:paraId="3078AF77" w14:textId="77777777" w:rsidR="00545D95" w:rsidRDefault="00BD429D" w:rsidP="001036E0">
      <w:pPr>
        <w:ind w:left="990" w:hanging="270"/>
        <w:rPr>
          <w:i/>
          <w:sz w:val="20"/>
        </w:rPr>
      </w:pPr>
      <w:r w:rsidRPr="00BD429D">
        <w:rPr>
          <w:i/>
          <w:sz w:val="20"/>
        </w:rPr>
        <w:t>2. Historic resource review of Historic</w:t>
      </w:r>
      <w:r w:rsidR="00545D95">
        <w:rPr>
          <w:i/>
          <w:sz w:val="20"/>
        </w:rPr>
        <w:t>,</w:t>
      </w:r>
      <w:r w:rsidRPr="00BD429D">
        <w:rPr>
          <w:i/>
          <w:sz w:val="20"/>
        </w:rPr>
        <w:t xml:space="preserve"> Conservation</w:t>
      </w:r>
      <w:r w:rsidR="00545D95">
        <w:rPr>
          <w:i/>
          <w:sz w:val="20"/>
        </w:rPr>
        <w:t>, and National Register</w:t>
      </w:r>
      <w:r w:rsidRPr="00BD429D">
        <w:rPr>
          <w:i/>
          <w:sz w:val="20"/>
        </w:rPr>
        <w:t xml:space="preserve"> Landmarks and </w:t>
      </w:r>
      <w:r w:rsidR="00545D95">
        <w:rPr>
          <w:i/>
          <w:sz w:val="20"/>
        </w:rPr>
        <w:t>resources</w:t>
      </w:r>
      <w:r w:rsidRPr="00BD429D">
        <w:rPr>
          <w:i/>
          <w:sz w:val="20"/>
        </w:rPr>
        <w:t xml:space="preserve"> in Historic</w:t>
      </w:r>
      <w:r w:rsidR="00545D95">
        <w:rPr>
          <w:i/>
          <w:sz w:val="20"/>
        </w:rPr>
        <w:t>,</w:t>
      </w:r>
      <w:r w:rsidRPr="00BD429D">
        <w:rPr>
          <w:i/>
          <w:sz w:val="20"/>
        </w:rPr>
        <w:t xml:space="preserve"> Conservatio</w:t>
      </w:r>
      <w:r w:rsidR="00545D95">
        <w:rPr>
          <w:i/>
          <w:sz w:val="20"/>
        </w:rPr>
        <w:t xml:space="preserve">n, and National Register </w:t>
      </w:r>
      <w:r w:rsidRPr="00BD429D">
        <w:rPr>
          <w:i/>
          <w:sz w:val="20"/>
        </w:rPr>
        <w:t>Districts.</w:t>
      </w:r>
    </w:p>
    <w:p w14:paraId="5E74A18A" w14:textId="77777777" w:rsidR="00545D95" w:rsidRDefault="00545D95" w:rsidP="001036E0">
      <w:pPr>
        <w:ind w:left="990" w:hanging="270"/>
        <w:rPr>
          <w:i/>
          <w:sz w:val="20"/>
        </w:rPr>
      </w:pPr>
    </w:p>
    <w:p w14:paraId="2DCDD77B" w14:textId="77777777" w:rsidR="00545D95" w:rsidRDefault="00545D95" w:rsidP="001036E0">
      <w:pPr>
        <w:ind w:left="990" w:hanging="270"/>
        <w:rPr>
          <w:i/>
          <w:sz w:val="20"/>
        </w:rPr>
      </w:pPr>
      <w:r>
        <w:rPr>
          <w:i/>
          <w:sz w:val="20"/>
        </w:rPr>
        <w:t>3.</w:t>
      </w:r>
      <w:r>
        <w:rPr>
          <w:i/>
          <w:sz w:val="20"/>
        </w:rPr>
        <w:tab/>
        <w:t>Demolition review of Historic, Conservation, and National Register Landmarks and Historic, Conservation, and National Register Districts.</w:t>
      </w:r>
    </w:p>
    <w:p w14:paraId="7130ACBB" w14:textId="77777777" w:rsidR="00545D95" w:rsidRDefault="00545D95" w:rsidP="001036E0">
      <w:pPr>
        <w:ind w:left="990" w:hanging="270"/>
        <w:rPr>
          <w:i/>
          <w:sz w:val="20"/>
        </w:rPr>
      </w:pPr>
    </w:p>
    <w:p w14:paraId="39B3A053" w14:textId="744F49A0" w:rsidR="00684295" w:rsidRDefault="00545D95" w:rsidP="001036E0">
      <w:pPr>
        <w:ind w:left="990" w:hanging="270"/>
        <w:rPr>
          <w:i/>
          <w:sz w:val="20"/>
        </w:rPr>
      </w:pPr>
      <w:r>
        <w:rPr>
          <w:i/>
          <w:sz w:val="20"/>
        </w:rPr>
        <w:t>4.</w:t>
      </w:r>
      <w:r>
        <w:rPr>
          <w:i/>
          <w:sz w:val="20"/>
        </w:rPr>
        <w:tab/>
        <w:t xml:space="preserve">Adjustments associated with Historic, Conservation, and National Register Landmarks and Historic, Conservation, and National Register </w:t>
      </w:r>
      <w:r w:rsidR="00376379">
        <w:rPr>
          <w:i/>
          <w:sz w:val="20"/>
        </w:rPr>
        <w:t>Districts.</w:t>
      </w:r>
      <w:r w:rsidR="00BD429D" w:rsidRPr="00BD429D">
        <w:rPr>
          <w:i/>
          <w:sz w:val="20"/>
        </w:rPr>
        <w:t xml:space="preserve"> </w:t>
      </w:r>
      <w:r w:rsidR="0062770A">
        <w:rPr>
          <w:i/>
          <w:sz w:val="20"/>
        </w:rPr>
        <w:t>(33.720.020.D</w:t>
      </w:r>
      <w:r w:rsidR="00684295">
        <w:rPr>
          <w:i/>
          <w:sz w:val="20"/>
        </w:rPr>
        <w:t>)</w:t>
      </w:r>
    </w:p>
    <w:p w14:paraId="3B1A67E5" w14:textId="77777777" w:rsidR="00942D85" w:rsidRDefault="00942D85" w:rsidP="00942D85">
      <w:pPr>
        <w:ind w:left="459"/>
        <w:rPr>
          <w:i/>
          <w:sz w:val="20"/>
        </w:rPr>
      </w:pPr>
    </w:p>
    <w:p w14:paraId="1B500F7C" w14:textId="1D66E8E8" w:rsidR="001036E0" w:rsidRDefault="00203180" w:rsidP="00942D85">
      <w:pPr>
        <w:ind w:left="459"/>
        <w:rPr>
          <w:i/>
          <w:sz w:val="20"/>
        </w:rPr>
      </w:pPr>
      <w:r>
        <w:rPr>
          <w:b/>
          <w:sz w:val="20"/>
        </w:rPr>
        <w:t>Historic Resource</w:t>
      </w:r>
      <w:r w:rsidR="001036E0">
        <w:rPr>
          <w:b/>
          <w:sz w:val="20"/>
        </w:rPr>
        <w:t xml:space="preserve"> Reviews</w:t>
      </w:r>
    </w:p>
    <w:p w14:paraId="7F108A90" w14:textId="67E7CFE0" w:rsidR="00942D85" w:rsidRPr="00942D85" w:rsidRDefault="008E0FFF" w:rsidP="00942D85">
      <w:pPr>
        <w:ind w:left="459"/>
        <w:rPr>
          <w:i/>
          <w:sz w:val="20"/>
        </w:rPr>
      </w:pPr>
      <w:r w:rsidRPr="008E0FFF">
        <w:rPr>
          <w:i/>
          <w:sz w:val="20"/>
        </w:rPr>
        <w:t>Historic resource review ensures the conservation and enhancement of the special characteristics of historic resources.</w:t>
      </w:r>
      <w:r w:rsidR="00376379">
        <w:rPr>
          <w:i/>
          <w:sz w:val="20"/>
        </w:rPr>
        <w:t xml:space="preserve"> Historic resource review also ensures that proposals to relocate historic resources do not result in the loss of historic significance or integrity.</w:t>
      </w:r>
      <w:r w:rsidRPr="008E0FFF">
        <w:rPr>
          <w:i/>
          <w:sz w:val="20"/>
        </w:rPr>
        <w:t xml:space="preserve"> </w:t>
      </w:r>
      <w:r w:rsidR="00733279">
        <w:rPr>
          <w:i/>
          <w:sz w:val="20"/>
        </w:rPr>
        <w:t>(33.846.06</w:t>
      </w:r>
      <w:r w:rsidR="00733279" w:rsidRPr="00942D85">
        <w:rPr>
          <w:i/>
          <w:sz w:val="20"/>
        </w:rPr>
        <w:t>0</w:t>
      </w:r>
      <w:r w:rsidR="00733279">
        <w:rPr>
          <w:i/>
          <w:sz w:val="20"/>
        </w:rPr>
        <w:t>.A</w:t>
      </w:r>
      <w:r w:rsidR="00733279" w:rsidRPr="00942D85">
        <w:rPr>
          <w:i/>
          <w:sz w:val="20"/>
        </w:rPr>
        <w:t xml:space="preserve">) </w:t>
      </w:r>
      <w:r w:rsidRPr="008E0FFF">
        <w:rPr>
          <w:i/>
          <w:sz w:val="20"/>
        </w:rPr>
        <w:t>Requests for historic resource review will be approved if the review body finds that the applicant has shown that all of the applicable approval criteria have been met.</w:t>
      </w:r>
      <w:r>
        <w:rPr>
          <w:i/>
          <w:sz w:val="20"/>
        </w:rPr>
        <w:t xml:space="preserve"> (33.846.06</w:t>
      </w:r>
      <w:r w:rsidR="00942D85" w:rsidRPr="00942D85">
        <w:rPr>
          <w:i/>
          <w:sz w:val="20"/>
        </w:rPr>
        <w:t>0</w:t>
      </w:r>
      <w:r w:rsidR="00733279">
        <w:rPr>
          <w:i/>
          <w:sz w:val="20"/>
        </w:rPr>
        <w:t>.</w:t>
      </w:r>
      <w:r w:rsidR="00376379">
        <w:rPr>
          <w:i/>
          <w:sz w:val="20"/>
        </w:rPr>
        <w:t>E and F</w:t>
      </w:r>
      <w:r w:rsidR="00942D85" w:rsidRPr="00942D85">
        <w:rPr>
          <w:i/>
          <w:sz w:val="20"/>
        </w:rPr>
        <w:t xml:space="preserve">) </w:t>
      </w:r>
    </w:p>
    <w:p w14:paraId="38A0B65E" w14:textId="77777777" w:rsidR="00684295" w:rsidRDefault="00684295" w:rsidP="008E0FFF">
      <w:pPr>
        <w:rPr>
          <w:b/>
          <w:sz w:val="20"/>
        </w:rPr>
      </w:pPr>
    </w:p>
    <w:p w14:paraId="54EDD49B" w14:textId="530C48EA" w:rsidR="001036E0" w:rsidRDefault="00684295" w:rsidP="00684295">
      <w:pPr>
        <w:ind w:left="459"/>
        <w:rPr>
          <w:b/>
          <w:sz w:val="20"/>
        </w:rPr>
      </w:pPr>
      <w:r>
        <w:rPr>
          <w:b/>
          <w:sz w:val="20"/>
        </w:rPr>
        <w:t xml:space="preserve">Legislative </w:t>
      </w:r>
      <w:r w:rsidRPr="00684295">
        <w:rPr>
          <w:b/>
          <w:sz w:val="20"/>
        </w:rPr>
        <w:t>Land Use Reviews</w:t>
      </w:r>
    </w:p>
    <w:p w14:paraId="0880F7F6" w14:textId="0F47C489" w:rsidR="00684295" w:rsidRDefault="00FE4C56" w:rsidP="00684295">
      <w:pPr>
        <w:ind w:left="459"/>
        <w:rPr>
          <w:i/>
          <w:sz w:val="20"/>
        </w:rPr>
      </w:pPr>
      <w:r w:rsidRPr="00FE4C56">
        <w:rPr>
          <w:i/>
          <w:sz w:val="20"/>
        </w:rPr>
        <w:t xml:space="preserve">Design Guidelines in Historic Districts and Conservation Districts are </w:t>
      </w:r>
      <w:r w:rsidR="005B614C">
        <w:rPr>
          <w:i/>
          <w:sz w:val="20"/>
        </w:rPr>
        <w:t xml:space="preserve">assigned to </w:t>
      </w:r>
      <w:r w:rsidRPr="00FE4C56">
        <w:rPr>
          <w:i/>
          <w:sz w:val="20"/>
        </w:rPr>
        <w:t>the Historic Landmarks Commission</w:t>
      </w:r>
      <w:r w:rsidR="005B614C">
        <w:rPr>
          <w:i/>
          <w:sz w:val="20"/>
        </w:rPr>
        <w:t xml:space="preserve">, who will make a recommendation </w:t>
      </w:r>
      <w:r w:rsidRPr="00FE4C56">
        <w:rPr>
          <w:i/>
          <w:sz w:val="20"/>
        </w:rPr>
        <w:t>to</w:t>
      </w:r>
      <w:r>
        <w:rPr>
          <w:i/>
          <w:sz w:val="20"/>
        </w:rPr>
        <w:t xml:space="preserve"> the City Council.</w:t>
      </w:r>
      <w:r w:rsidR="005B614C">
        <w:rPr>
          <w:i/>
          <w:sz w:val="20"/>
        </w:rPr>
        <w:t xml:space="preserve"> </w:t>
      </w:r>
      <w:r w:rsidR="00C8687E">
        <w:rPr>
          <w:i/>
          <w:sz w:val="20"/>
        </w:rPr>
        <w:t>Significant Resource identification and removal are assigned to the Historic Landmarks Commission, who will make a recommendation to City Council.</w:t>
      </w:r>
      <w:r w:rsidR="00684295">
        <w:rPr>
          <w:i/>
          <w:sz w:val="20"/>
        </w:rPr>
        <w:t xml:space="preserve"> (33.720.030</w:t>
      </w:r>
      <w:r w:rsidR="00733279">
        <w:rPr>
          <w:i/>
          <w:sz w:val="20"/>
        </w:rPr>
        <w:t>.B</w:t>
      </w:r>
      <w:r w:rsidR="00684295">
        <w:rPr>
          <w:i/>
          <w:sz w:val="20"/>
        </w:rPr>
        <w:t>)</w:t>
      </w:r>
    </w:p>
    <w:p w14:paraId="56B55A9A" w14:textId="77777777" w:rsidR="00D659B6" w:rsidRDefault="00D659B6" w:rsidP="00684295">
      <w:pPr>
        <w:ind w:left="459"/>
        <w:rPr>
          <w:i/>
          <w:sz w:val="20"/>
        </w:rPr>
      </w:pPr>
    </w:p>
    <w:p w14:paraId="060CE8D1" w14:textId="56077800" w:rsidR="001036E0" w:rsidRDefault="00D659B6" w:rsidP="00684295">
      <w:pPr>
        <w:ind w:left="459"/>
        <w:rPr>
          <w:b/>
          <w:sz w:val="20"/>
        </w:rPr>
      </w:pPr>
      <w:r w:rsidRPr="00D659B6">
        <w:rPr>
          <w:b/>
          <w:sz w:val="20"/>
        </w:rPr>
        <w:t>Goal, Policy, and Regulation Amendments</w:t>
      </w:r>
      <w:r>
        <w:rPr>
          <w:b/>
          <w:sz w:val="20"/>
        </w:rPr>
        <w:t xml:space="preserve"> </w:t>
      </w:r>
    </w:p>
    <w:p w14:paraId="0661B5AB" w14:textId="72DD6B1C" w:rsidR="00D659B6" w:rsidRDefault="00DE5D99" w:rsidP="00684295">
      <w:pPr>
        <w:ind w:left="459"/>
        <w:rPr>
          <w:i/>
          <w:sz w:val="20"/>
        </w:rPr>
      </w:pPr>
      <w:r w:rsidRPr="00DE5D99">
        <w:rPr>
          <w:i/>
          <w:sz w:val="20"/>
        </w:rPr>
        <w:t xml:space="preserve">The </w:t>
      </w:r>
      <w:r w:rsidR="004676CC">
        <w:rPr>
          <w:i/>
          <w:sz w:val="20"/>
        </w:rPr>
        <w:t>Historic Landmarks</w:t>
      </w:r>
      <w:r w:rsidRPr="00DE5D99">
        <w:rPr>
          <w:i/>
          <w:sz w:val="20"/>
        </w:rPr>
        <w:t xml:space="preserve"> Commission may </w:t>
      </w:r>
      <w:r w:rsidRPr="0048152B">
        <w:rPr>
          <w:sz w:val="20"/>
        </w:rPr>
        <w:t>initiate</w:t>
      </w:r>
      <w:r w:rsidRPr="00DE5D99">
        <w:rPr>
          <w:i/>
          <w:sz w:val="20"/>
        </w:rPr>
        <w:t xml:space="preserve"> amendments concerning </w:t>
      </w:r>
      <w:r w:rsidR="004676CC">
        <w:rPr>
          <w:i/>
          <w:sz w:val="20"/>
        </w:rPr>
        <w:t>historic</w:t>
      </w:r>
      <w:r w:rsidRPr="00DE5D99">
        <w:rPr>
          <w:i/>
          <w:sz w:val="20"/>
        </w:rPr>
        <w:t xml:space="preserve"> districts. Requests for amendments to design guidelines in </w:t>
      </w:r>
      <w:r w:rsidR="004676CC">
        <w:rPr>
          <w:i/>
          <w:sz w:val="20"/>
        </w:rPr>
        <w:t>historic</w:t>
      </w:r>
      <w:r w:rsidRPr="00DE5D99">
        <w:rPr>
          <w:i/>
          <w:sz w:val="20"/>
        </w:rPr>
        <w:t xml:space="preserve"> districts are made to the </w:t>
      </w:r>
      <w:r w:rsidR="004676CC">
        <w:rPr>
          <w:i/>
          <w:sz w:val="20"/>
        </w:rPr>
        <w:t>Historic Landmarks</w:t>
      </w:r>
      <w:r w:rsidRPr="00DE5D99">
        <w:rPr>
          <w:i/>
          <w:sz w:val="20"/>
        </w:rPr>
        <w:t xml:space="preserve"> Commission.</w:t>
      </w:r>
      <w:r w:rsidRPr="00DE5D99">
        <w:t xml:space="preserve"> </w:t>
      </w:r>
      <w:r>
        <w:t>(</w:t>
      </w:r>
      <w:r w:rsidRPr="00DE5D99">
        <w:rPr>
          <w:i/>
          <w:sz w:val="20"/>
        </w:rPr>
        <w:t>33.835.020</w:t>
      </w:r>
      <w:r>
        <w:rPr>
          <w:i/>
          <w:sz w:val="20"/>
        </w:rPr>
        <w:t xml:space="preserve">) </w:t>
      </w:r>
    </w:p>
    <w:p w14:paraId="6D830DED" w14:textId="77777777" w:rsidR="00DE5D99" w:rsidRDefault="00DE5D99" w:rsidP="00684295">
      <w:pPr>
        <w:ind w:left="459"/>
        <w:rPr>
          <w:b/>
          <w:sz w:val="20"/>
        </w:rPr>
      </w:pPr>
    </w:p>
    <w:p w14:paraId="2BEAC59B" w14:textId="661A9AC2" w:rsidR="001036E0" w:rsidRDefault="00733279" w:rsidP="00684295">
      <w:pPr>
        <w:ind w:left="459"/>
        <w:rPr>
          <w:b/>
          <w:sz w:val="20"/>
        </w:rPr>
      </w:pPr>
      <w:r>
        <w:rPr>
          <w:b/>
          <w:sz w:val="20"/>
        </w:rPr>
        <w:t xml:space="preserve">Legislative </w:t>
      </w:r>
      <w:r w:rsidR="001036E0">
        <w:rPr>
          <w:b/>
          <w:sz w:val="20"/>
        </w:rPr>
        <w:t>Zoning Map Amendments</w:t>
      </w:r>
    </w:p>
    <w:p w14:paraId="57BA2EC3" w14:textId="7567D888" w:rsidR="00DE5D99" w:rsidRPr="007B2F0F" w:rsidRDefault="007B2F0F" w:rsidP="00684295">
      <w:pPr>
        <w:ind w:left="459"/>
        <w:rPr>
          <w:sz w:val="20"/>
        </w:rPr>
      </w:pPr>
      <w:r>
        <w:rPr>
          <w:i/>
          <w:sz w:val="20"/>
        </w:rPr>
        <w:t>T</w:t>
      </w:r>
      <w:r w:rsidRPr="007B2F0F">
        <w:rPr>
          <w:i/>
          <w:sz w:val="20"/>
        </w:rPr>
        <w:t xml:space="preserve">he </w:t>
      </w:r>
      <w:r w:rsidR="004676CC">
        <w:rPr>
          <w:i/>
          <w:sz w:val="20"/>
        </w:rPr>
        <w:t>Historic Landmarks</w:t>
      </w:r>
      <w:r w:rsidRPr="007B2F0F">
        <w:rPr>
          <w:i/>
          <w:sz w:val="20"/>
        </w:rPr>
        <w:t xml:space="preserve"> Commission may initiate amendments concerning </w:t>
      </w:r>
      <w:r w:rsidR="004676CC">
        <w:rPr>
          <w:i/>
          <w:sz w:val="20"/>
        </w:rPr>
        <w:t>historic</w:t>
      </w:r>
      <w:r w:rsidRPr="007B2F0F">
        <w:rPr>
          <w:i/>
          <w:sz w:val="20"/>
        </w:rPr>
        <w:t xml:space="preserve"> districts.</w:t>
      </w:r>
      <w:r>
        <w:rPr>
          <w:sz w:val="20"/>
        </w:rPr>
        <w:t xml:space="preserve"> </w:t>
      </w:r>
      <w:r w:rsidR="00733279">
        <w:rPr>
          <w:sz w:val="20"/>
        </w:rPr>
        <w:t>(33.855.020.B</w:t>
      </w:r>
      <w:r w:rsidR="0048152B">
        <w:rPr>
          <w:sz w:val="20"/>
        </w:rPr>
        <w:t>)</w:t>
      </w:r>
    </w:p>
    <w:p w14:paraId="626A2869" w14:textId="37A8D0E3" w:rsidR="00684295" w:rsidRPr="00684295" w:rsidRDefault="00684295" w:rsidP="00684295">
      <w:pPr>
        <w:rPr>
          <w:i/>
          <w:sz w:val="20"/>
        </w:rPr>
        <w:sectPr w:rsidR="00684295" w:rsidRPr="00684295" w:rsidSect="00937F82">
          <w:type w:val="continuous"/>
          <w:pgSz w:w="12240" w:h="15840"/>
          <w:pgMar w:top="1440" w:right="1440" w:bottom="1260" w:left="1440" w:header="720" w:footer="617" w:gutter="0"/>
          <w:cols w:space="720"/>
        </w:sectPr>
      </w:pPr>
    </w:p>
    <w:p w14:paraId="3DB85AE9" w14:textId="6DD23D54" w:rsidR="00691C6D" w:rsidRDefault="00624BE6" w:rsidP="00691C6D">
      <w:pPr>
        <w:spacing w:before="88" w:line="279" w:lineRule="exact"/>
        <w:ind w:left="80"/>
        <w:jc w:val="center"/>
        <w:rPr>
          <w:b/>
          <w:sz w:val="24"/>
        </w:rPr>
      </w:pPr>
      <w:r>
        <w:rPr>
          <w:b/>
          <w:sz w:val="24"/>
        </w:rPr>
        <w:lastRenderedPageBreak/>
        <w:t>P</w:t>
      </w:r>
      <w:r w:rsidR="00691C6D">
        <w:rPr>
          <w:b/>
          <w:sz w:val="24"/>
        </w:rPr>
        <w:t>art II</w:t>
      </w:r>
    </w:p>
    <w:p w14:paraId="07F3A103" w14:textId="05FFB466" w:rsidR="00691C6D" w:rsidRPr="00691C6D" w:rsidRDefault="00691C6D" w:rsidP="00691C6D">
      <w:pPr>
        <w:spacing w:before="88" w:line="279" w:lineRule="exact"/>
        <w:ind w:left="80"/>
        <w:jc w:val="center"/>
        <w:rPr>
          <w:b/>
          <w:sz w:val="24"/>
        </w:rPr>
      </w:pPr>
      <w:r>
        <w:rPr>
          <w:b/>
          <w:sz w:val="24"/>
        </w:rPr>
        <w:t>Rules of Procedure</w:t>
      </w:r>
    </w:p>
    <w:p w14:paraId="240987A3" w14:textId="77BC2566" w:rsidR="00691C6D" w:rsidRPr="00691C6D" w:rsidRDefault="00691C6D" w:rsidP="00691C6D">
      <w:pPr>
        <w:pStyle w:val="Heading1"/>
        <w:numPr>
          <w:ilvl w:val="0"/>
          <w:numId w:val="6"/>
        </w:numPr>
        <w:tabs>
          <w:tab w:val="left" w:pos="460"/>
        </w:tabs>
        <w:spacing w:before="227"/>
        <w:ind w:hanging="359"/>
      </w:pPr>
      <w:r>
        <w:t>Purpose of</w:t>
      </w:r>
      <w:r>
        <w:rPr>
          <w:spacing w:val="-13"/>
        </w:rPr>
        <w:t xml:space="preserve"> </w:t>
      </w:r>
      <w:r>
        <w:t>Rules</w:t>
      </w:r>
    </w:p>
    <w:p w14:paraId="454EECD7" w14:textId="77777777" w:rsidR="00F12745" w:rsidRDefault="0008003D" w:rsidP="009667B7">
      <w:pPr>
        <w:ind w:left="459" w:right="98"/>
        <w:rPr>
          <w:i/>
          <w:sz w:val="20"/>
        </w:rPr>
      </w:pPr>
      <w:r>
        <w:rPr>
          <w:i/>
          <w:sz w:val="20"/>
        </w:rPr>
        <w:t>The rules of procedure must be in writing and comply with the Oregon Public Meetings law, Statutory land use hearing requirements, and this Title. (33.710.030.C.)</w:t>
      </w:r>
    </w:p>
    <w:p w14:paraId="7FE0DFB3" w14:textId="77777777" w:rsidR="00F12745" w:rsidRDefault="00F12745">
      <w:pPr>
        <w:pStyle w:val="BodyText"/>
        <w:spacing w:before="10"/>
        <w:rPr>
          <w:i/>
          <w:sz w:val="19"/>
        </w:rPr>
      </w:pPr>
    </w:p>
    <w:p w14:paraId="2E1FF20C" w14:textId="18CEC9BC" w:rsidR="00F12745" w:rsidRPr="009667B7" w:rsidRDefault="0008003D" w:rsidP="009667B7">
      <w:pPr>
        <w:pStyle w:val="BodyText"/>
        <w:spacing w:before="1"/>
        <w:ind w:left="460" w:right="98"/>
      </w:pPr>
      <w:r>
        <w:t xml:space="preserve">These Rules establish procedures that ensure the Portland </w:t>
      </w:r>
      <w:r w:rsidR="0070533B">
        <w:t>Historic Landmarks</w:t>
      </w:r>
      <w:r w:rsidR="008F4592">
        <w:t xml:space="preserve"> </w:t>
      </w:r>
      <w:r>
        <w:t>Commission performs its responsibilities in an efficient, effective, and fair manner. They clarify the Commission’s role and orient new members. The Rules incorporate by reference the provisions of the Oregon Public Meetings law and Chapter 33.710 of the Portland zoning code that apply to the Commission.</w:t>
      </w:r>
    </w:p>
    <w:p w14:paraId="1A957155" w14:textId="77777777" w:rsidR="00F12745" w:rsidRDefault="00F12745">
      <w:pPr>
        <w:pStyle w:val="BodyText"/>
        <w:spacing w:before="9"/>
        <w:rPr>
          <w:sz w:val="17"/>
        </w:rPr>
      </w:pPr>
    </w:p>
    <w:p w14:paraId="72297B7B" w14:textId="77777777" w:rsidR="00F12745" w:rsidRDefault="0008003D">
      <w:pPr>
        <w:pStyle w:val="Heading1"/>
        <w:numPr>
          <w:ilvl w:val="0"/>
          <w:numId w:val="6"/>
        </w:numPr>
        <w:tabs>
          <w:tab w:val="left" w:pos="461"/>
        </w:tabs>
        <w:ind w:left="460"/>
      </w:pPr>
      <w:r>
        <w:t>Membership</w:t>
      </w:r>
    </w:p>
    <w:p w14:paraId="75F37293" w14:textId="77777777" w:rsidR="004E3E2C" w:rsidRPr="004E3E2C" w:rsidRDefault="000D5F63" w:rsidP="004E3E2C">
      <w:pPr>
        <w:pStyle w:val="ListParagraph"/>
        <w:numPr>
          <w:ilvl w:val="1"/>
          <w:numId w:val="6"/>
        </w:numPr>
        <w:tabs>
          <w:tab w:val="left" w:pos="909"/>
          <w:tab w:val="left" w:pos="910"/>
        </w:tabs>
        <w:spacing w:before="233"/>
        <w:ind w:right="222"/>
        <w:rPr>
          <w:i/>
          <w:sz w:val="20"/>
        </w:rPr>
      </w:pPr>
      <w:r>
        <w:rPr>
          <w:b/>
          <w:sz w:val="20"/>
        </w:rPr>
        <w:t>Membership</w:t>
      </w:r>
    </w:p>
    <w:p w14:paraId="3C7300F7" w14:textId="6099023F" w:rsidR="00F12745" w:rsidRPr="004E3E2C" w:rsidRDefault="0070533B" w:rsidP="004E3E2C">
      <w:pPr>
        <w:pStyle w:val="ListParagraph"/>
        <w:tabs>
          <w:tab w:val="left" w:pos="909"/>
          <w:tab w:val="left" w:pos="910"/>
        </w:tabs>
        <w:ind w:left="907" w:right="216" w:firstLine="0"/>
        <w:rPr>
          <w:i/>
          <w:sz w:val="20"/>
        </w:rPr>
      </w:pPr>
      <w:r w:rsidRPr="004E3E2C">
        <w:rPr>
          <w:i/>
          <w:sz w:val="20"/>
        </w:rPr>
        <w:t xml:space="preserve">The Historic Landmarks Commission consists of seven members, none of whom may hold public elective office. </w:t>
      </w:r>
      <w:r w:rsidR="00C8687E" w:rsidRPr="004E3E2C">
        <w:rPr>
          <w:i/>
          <w:sz w:val="20"/>
        </w:rPr>
        <w:t xml:space="preserve">All members must have demonstrated interest, competence, or knowledge of historic preservation. </w:t>
      </w:r>
      <w:r w:rsidR="00C8687E">
        <w:rPr>
          <w:i/>
          <w:sz w:val="20"/>
        </w:rPr>
        <w:t>At least two members must have professional experience in historic preservation, local history, architectural history, or architecture. At least three members must have professional experience or working knowledge of historic preservation, local history, architectural history, architecture, landsc</w:t>
      </w:r>
      <w:r w:rsidRPr="004E3E2C">
        <w:rPr>
          <w:i/>
          <w:sz w:val="20"/>
        </w:rPr>
        <w:t xml:space="preserve">ape architecture, real estate, </w:t>
      </w:r>
      <w:r w:rsidR="00C8687E">
        <w:rPr>
          <w:i/>
          <w:sz w:val="20"/>
        </w:rPr>
        <w:t xml:space="preserve">economics, </w:t>
      </w:r>
      <w:r w:rsidRPr="004E3E2C">
        <w:rPr>
          <w:i/>
          <w:sz w:val="20"/>
        </w:rPr>
        <w:t xml:space="preserve">construction, community development, urban planning, archeology, law, finance, cultural geography, cultural anthropology, </w:t>
      </w:r>
      <w:r w:rsidR="000634C0">
        <w:rPr>
          <w:i/>
          <w:sz w:val="20"/>
        </w:rPr>
        <w:t xml:space="preserve">cultural resource management, </w:t>
      </w:r>
      <w:r w:rsidRPr="004E3E2C">
        <w:rPr>
          <w:i/>
          <w:sz w:val="20"/>
        </w:rPr>
        <w:t>or related disciplines</w:t>
      </w:r>
      <w:r w:rsidR="000634C0">
        <w:rPr>
          <w:i/>
          <w:sz w:val="20"/>
        </w:rPr>
        <w:t>. The Commission may have up to</w:t>
      </w:r>
      <w:r w:rsidRPr="004E3E2C">
        <w:rPr>
          <w:i/>
          <w:sz w:val="20"/>
        </w:rPr>
        <w:t xml:space="preserve"> two members at-large. No more than two members of the Commission may be in the business of buying, selling, leasing, or developing real estate for profit, or be officers of such a business. The members are appointed by the Mayor and confirmed by the City Council. (33.710.06</w:t>
      </w:r>
      <w:r w:rsidR="0008003D" w:rsidRPr="004E3E2C">
        <w:rPr>
          <w:i/>
          <w:sz w:val="20"/>
        </w:rPr>
        <w:t>0.B.)</w:t>
      </w:r>
    </w:p>
    <w:p w14:paraId="22F8D122" w14:textId="77777777" w:rsidR="00F12745" w:rsidRDefault="00F12745">
      <w:pPr>
        <w:pStyle w:val="BodyText"/>
        <w:spacing w:before="10"/>
        <w:rPr>
          <w:i/>
          <w:sz w:val="19"/>
        </w:rPr>
      </w:pPr>
    </w:p>
    <w:p w14:paraId="2000D9BD" w14:textId="77777777" w:rsidR="004E3E2C" w:rsidRPr="004E3E2C" w:rsidRDefault="004E3E2C">
      <w:pPr>
        <w:pStyle w:val="ListParagraph"/>
        <w:numPr>
          <w:ilvl w:val="1"/>
          <w:numId w:val="6"/>
        </w:numPr>
        <w:tabs>
          <w:tab w:val="left" w:pos="909"/>
          <w:tab w:val="left" w:pos="911"/>
        </w:tabs>
        <w:spacing w:before="1"/>
        <w:ind w:left="909" w:right="265" w:hanging="449"/>
        <w:rPr>
          <w:i/>
          <w:sz w:val="20"/>
        </w:rPr>
      </w:pPr>
      <w:r>
        <w:rPr>
          <w:b/>
          <w:sz w:val="20"/>
        </w:rPr>
        <w:t>Length of terms</w:t>
      </w:r>
    </w:p>
    <w:p w14:paraId="3E7BD12E" w14:textId="70B6A64F" w:rsidR="00F12745" w:rsidRPr="004E3E2C" w:rsidRDefault="0008003D" w:rsidP="004E3E2C">
      <w:pPr>
        <w:tabs>
          <w:tab w:val="left" w:pos="909"/>
          <w:tab w:val="left" w:pos="911"/>
        </w:tabs>
        <w:spacing w:before="1"/>
        <w:ind w:left="900" w:right="265"/>
        <w:rPr>
          <w:i/>
          <w:sz w:val="20"/>
        </w:rPr>
      </w:pPr>
      <w:r w:rsidRPr="004E3E2C">
        <w:rPr>
          <w:i/>
          <w:sz w:val="20"/>
        </w:rPr>
        <w:t>Members may be appointed to terms of not more than 4 years. Members are limited to a maximum of two full terms. Vacancies which may occur must be filled for the unexpired terms.</w:t>
      </w:r>
      <w:r w:rsidRPr="004E3E2C">
        <w:rPr>
          <w:i/>
          <w:spacing w:val="-20"/>
          <w:sz w:val="20"/>
        </w:rPr>
        <w:t xml:space="preserve"> </w:t>
      </w:r>
      <w:r w:rsidRPr="004E3E2C">
        <w:rPr>
          <w:i/>
          <w:sz w:val="20"/>
        </w:rPr>
        <w:t>(33.710.030.A.)</w:t>
      </w:r>
    </w:p>
    <w:p w14:paraId="2F14A4A8" w14:textId="77777777" w:rsidR="00F12745" w:rsidRDefault="00F12745">
      <w:pPr>
        <w:pStyle w:val="BodyText"/>
        <w:rPr>
          <w:i/>
        </w:rPr>
      </w:pPr>
    </w:p>
    <w:p w14:paraId="45EC9B9B" w14:textId="77777777" w:rsidR="004E3E2C" w:rsidRPr="004E3E2C" w:rsidRDefault="004E3E2C">
      <w:pPr>
        <w:pStyle w:val="ListParagraph"/>
        <w:numPr>
          <w:ilvl w:val="1"/>
          <w:numId w:val="6"/>
        </w:numPr>
        <w:tabs>
          <w:tab w:val="left" w:pos="909"/>
          <w:tab w:val="left" w:pos="910"/>
        </w:tabs>
        <w:ind w:left="909" w:right="1108"/>
        <w:rPr>
          <w:i/>
          <w:sz w:val="20"/>
        </w:rPr>
      </w:pPr>
      <w:r>
        <w:rPr>
          <w:b/>
          <w:sz w:val="20"/>
        </w:rPr>
        <w:t>Pay</w:t>
      </w:r>
    </w:p>
    <w:p w14:paraId="45FD9DCB" w14:textId="2A1720DB" w:rsidR="00F12745" w:rsidRPr="004E3E2C" w:rsidRDefault="0008003D" w:rsidP="004E3E2C">
      <w:pPr>
        <w:tabs>
          <w:tab w:val="left" w:pos="909"/>
          <w:tab w:val="left" w:pos="910"/>
        </w:tabs>
        <w:ind w:left="900" w:right="1108"/>
        <w:rPr>
          <w:i/>
          <w:sz w:val="20"/>
        </w:rPr>
      </w:pPr>
      <w:r w:rsidRPr="004E3E2C">
        <w:rPr>
          <w:i/>
          <w:sz w:val="20"/>
        </w:rPr>
        <w:t>All members serve without pay. (33.710.030.E.)</w:t>
      </w:r>
    </w:p>
    <w:p w14:paraId="2D9B49A4" w14:textId="77777777" w:rsidR="00F12745" w:rsidRDefault="00F12745">
      <w:pPr>
        <w:pStyle w:val="BodyText"/>
        <w:spacing w:before="11"/>
        <w:rPr>
          <w:i/>
          <w:sz w:val="19"/>
        </w:rPr>
      </w:pPr>
    </w:p>
    <w:p w14:paraId="0CF35B96" w14:textId="77777777" w:rsidR="004E3E2C" w:rsidRPr="004E3E2C" w:rsidRDefault="004E3E2C">
      <w:pPr>
        <w:pStyle w:val="ListParagraph"/>
        <w:numPr>
          <w:ilvl w:val="1"/>
          <w:numId w:val="6"/>
        </w:numPr>
        <w:tabs>
          <w:tab w:val="left" w:pos="909"/>
          <w:tab w:val="left" w:pos="910"/>
        </w:tabs>
        <w:ind w:left="909" w:right="180"/>
        <w:rPr>
          <w:i/>
          <w:sz w:val="20"/>
        </w:rPr>
      </w:pPr>
      <w:r>
        <w:rPr>
          <w:b/>
          <w:sz w:val="20"/>
        </w:rPr>
        <w:t>Conflict of interest</w:t>
      </w:r>
    </w:p>
    <w:p w14:paraId="3964EAB3" w14:textId="70289C62" w:rsidR="00F12745" w:rsidRPr="004E3E2C" w:rsidRDefault="000634C0" w:rsidP="004E3E2C">
      <w:pPr>
        <w:tabs>
          <w:tab w:val="left" w:pos="909"/>
          <w:tab w:val="left" w:pos="910"/>
        </w:tabs>
        <w:ind w:left="900" w:right="180"/>
        <w:rPr>
          <w:i/>
          <w:sz w:val="20"/>
        </w:rPr>
      </w:pPr>
      <w:r>
        <w:rPr>
          <w:i/>
          <w:sz w:val="20"/>
        </w:rPr>
        <w:t>Members of the</w:t>
      </w:r>
      <w:r w:rsidR="0008003D" w:rsidRPr="004E3E2C">
        <w:rPr>
          <w:i/>
          <w:sz w:val="20"/>
        </w:rPr>
        <w:t xml:space="preserve"> commission</w:t>
      </w:r>
      <w:r>
        <w:rPr>
          <w:i/>
          <w:sz w:val="20"/>
        </w:rPr>
        <w:t xml:space="preserve"> </w:t>
      </w:r>
      <w:r w:rsidR="0008003D" w:rsidRPr="004E3E2C">
        <w:rPr>
          <w:i/>
          <w:sz w:val="20"/>
        </w:rPr>
        <w:t>may not participate as a member in deciding any land use action in which the member has a direct or substantial financial interest. A member may not participate if the member's spouse, brother, sister, child, parent, father-in-law, or mother-in-law have a direct or substantial financial interest, or if any business in which the member is then serving or has served within the previous two years or any business with which the member is negotiating for or has an arrangement or understanding concerning prospective partnership or employment, has a direct or substantial financial interest. Any actual or potential interest must be disclosed at the hearing or meeting where the action is scheduled.</w:t>
      </w:r>
      <w:r w:rsidR="0008003D" w:rsidRPr="004E3E2C">
        <w:rPr>
          <w:i/>
          <w:spacing w:val="-14"/>
          <w:sz w:val="20"/>
        </w:rPr>
        <w:t xml:space="preserve"> </w:t>
      </w:r>
      <w:r w:rsidR="0008003D" w:rsidRPr="004E3E2C">
        <w:rPr>
          <w:i/>
          <w:sz w:val="20"/>
        </w:rPr>
        <w:t>(33.710.030.I.)</w:t>
      </w:r>
    </w:p>
    <w:p w14:paraId="294A5A68" w14:textId="77777777" w:rsidR="009667B7" w:rsidRDefault="009667B7">
      <w:pPr>
        <w:rPr>
          <w:sz w:val="20"/>
        </w:rPr>
      </w:pPr>
    </w:p>
    <w:p w14:paraId="47180262" w14:textId="77777777" w:rsidR="00543F7A" w:rsidRDefault="00543F7A" w:rsidP="00543F7A">
      <w:pPr>
        <w:pStyle w:val="Heading1"/>
        <w:numPr>
          <w:ilvl w:val="0"/>
          <w:numId w:val="6"/>
        </w:numPr>
        <w:tabs>
          <w:tab w:val="left" w:pos="460"/>
        </w:tabs>
        <w:spacing w:before="88"/>
        <w:ind w:hanging="359"/>
      </w:pPr>
      <w:r>
        <w:t>Officers</w:t>
      </w:r>
    </w:p>
    <w:p w14:paraId="7F204C0E" w14:textId="77777777" w:rsidR="00543F7A" w:rsidRDefault="00543F7A" w:rsidP="00543F7A">
      <w:pPr>
        <w:pStyle w:val="Heading2"/>
        <w:numPr>
          <w:ilvl w:val="1"/>
          <w:numId w:val="6"/>
        </w:numPr>
        <w:tabs>
          <w:tab w:val="left" w:pos="820"/>
        </w:tabs>
        <w:spacing w:before="234" w:line="232" w:lineRule="exact"/>
        <w:ind w:left="820" w:hanging="360"/>
      </w:pPr>
      <w:r>
        <w:t>Chair</w:t>
      </w:r>
    </w:p>
    <w:p w14:paraId="1512A8DA" w14:textId="77777777" w:rsidR="00543F7A" w:rsidRDefault="00543F7A" w:rsidP="00543F7A">
      <w:pPr>
        <w:pStyle w:val="BodyText"/>
        <w:ind w:left="819" w:right="225"/>
      </w:pPr>
      <w:r>
        <w:t xml:space="preserve">The Commission annually elects one of its members as Chair, to serve a one-year term. The </w:t>
      </w:r>
      <w:r>
        <w:lastRenderedPageBreak/>
        <w:t>Chair has the following powers and duties:</w:t>
      </w:r>
    </w:p>
    <w:p w14:paraId="07E47F1A" w14:textId="77777777" w:rsidR="00543F7A" w:rsidRDefault="00543F7A" w:rsidP="00543F7A">
      <w:pPr>
        <w:pStyle w:val="BodyText"/>
      </w:pPr>
    </w:p>
    <w:p w14:paraId="63ECBBFE" w14:textId="77777777" w:rsidR="00543F7A" w:rsidRDefault="00543F7A" w:rsidP="00543F7A">
      <w:pPr>
        <w:pStyle w:val="ListParagraph"/>
        <w:numPr>
          <w:ilvl w:val="2"/>
          <w:numId w:val="6"/>
        </w:numPr>
        <w:tabs>
          <w:tab w:val="left" w:pos="1180"/>
        </w:tabs>
        <w:ind w:right="548" w:hanging="359"/>
        <w:rPr>
          <w:sz w:val="20"/>
        </w:rPr>
      </w:pPr>
      <w:r>
        <w:rPr>
          <w:sz w:val="20"/>
        </w:rPr>
        <w:t>Preside over all Commission meetings, including deciding all points of order</w:t>
      </w:r>
      <w:r>
        <w:rPr>
          <w:spacing w:val="-22"/>
          <w:sz w:val="20"/>
        </w:rPr>
        <w:t xml:space="preserve"> </w:t>
      </w:r>
      <w:r>
        <w:rPr>
          <w:sz w:val="20"/>
        </w:rPr>
        <w:t>and procedure, subject to these</w:t>
      </w:r>
      <w:r>
        <w:rPr>
          <w:spacing w:val="-26"/>
          <w:sz w:val="20"/>
        </w:rPr>
        <w:t xml:space="preserve"> </w:t>
      </w:r>
      <w:r>
        <w:rPr>
          <w:sz w:val="20"/>
        </w:rPr>
        <w:t>Rules;</w:t>
      </w:r>
    </w:p>
    <w:p w14:paraId="0BF4FE48" w14:textId="77777777" w:rsidR="00543F7A" w:rsidRDefault="00543F7A" w:rsidP="00543F7A">
      <w:pPr>
        <w:pStyle w:val="ListParagraph"/>
        <w:numPr>
          <w:ilvl w:val="2"/>
          <w:numId w:val="6"/>
        </w:numPr>
        <w:tabs>
          <w:tab w:val="left" w:pos="1181"/>
        </w:tabs>
        <w:spacing w:line="232" w:lineRule="exact"/>
        <w:ind w:left="1180"/>
        <w:rPr>
          <w:sz w:val="20"/>
        </w:rPr>
      </w:pPr>
      <w:r>
        <w:rPr>
          <w:sz w:val="20"/>
        </w:rPr>
        <w:t>Preserve order and</w:t>
      </w:r>
      <w:r>
        <w:rPr>
          <w:spacing w:val="-7"/>
          <w:sz w:val="20"/>
        </w:rPr>
        <w:t xml:space="preserve"> </w:t>
      </w:r>
      <w:r>
        <w:rPr>
          <w:sz w:val="20"/>
        </w:rPr>
        <w:t>decorum;</w:t>
      </w:r>
    </w:p>
    <w:p w14:paraId="50CBBF10" w14:textId="77777777" w:rsidR="00543F7A" w:rsidRDefault="00543F7A" w:rsidP="00543F7A">
      <w:pPr>
        <w:pStyle w:val="ListParagraph"/>
        <w:numPr>
          <w:ilvl w:val="2"/>
          <w:numId w:val="6"/>
        </w:numPr>
        <w:tabs>
          <w:tab w:val="left" w:pos="1180"/>
        </w:tabs>
        <w:spacing w:line="232" w:lineRule="exact"/>
        <w:ind w:hanging="359"/>
        <w:rPr>
          <w:sz w:val="20"/>
        </w:rPr>
      </w:pPr>
      <w:r>
        <w:rPr>
          <w:sz w:val="20"/>
        </w:rPr>
        <w:t>Establish</w:t>
      </w:r>
      <w:r>
        <w:rPr>
          <w:spacing w:val="-5"/>
          <w:sz w:val="20"/>
        </w:rPr>
        <w:t xml:space="preserve"> </w:t>
      </w:r>
      <w:r>
        <w:rPr>
          <w:sz w:val="20"/>
        </w:rPr>
        <w:t>time</w:t>
      </w:r>
      <w:r>
        <w:rPr>
          <w:spacing w:val="-5"/>
          <w:sz w:val="20"/>
        </w:rPr>
        <w:t xml:space="preserve"> </w:t>
      </w:r>
      <w:r>
        <w:rPr>
          <w:sz w:val="20"/>
        </w:rPr>
        <w:t>limits</w:t>
      </w:r>
      <w:r>
        <w:rPr>
          <w:spacing w:val="-5"/>
          <w:sz w:val="20"/>
        </w:rPr>
        <w:t xml:space="preserve"> </w:t>
      </w:r>
      <w:r>
        <w:rPr>
          <w:sz w:val="20"/>
        </w:rPr>
        <w:t>on</w:t>
      </w:r>
      <w:r>
        <w:rPr>
          <w:spacing w:val="-5"/>
          <w:sz w:val="20"/>
        </w:rPr>
        <w:t xml:space="preserve"> </w:t>
      </w:r>
      <w:r>
        <w:rPr>
          <w:sz w:val="20"/>
        </w:rPr>
        <w:t>testimony</w:t>
      </w:r>
      <w:r>
        <w:rPr>
          <w:spacing w:val="-5"/>
          <w:sz w:val="20"/>
        </w:rPr>
        <w:t xml:space="preserve"> </w:t>
      </w:r>
      <w:r>
        <w:rPr>
          <w:sz w:val="20"/>
        </w:rPr>
        <w:t>by</w:t>
      </w:r>
      <w:r>
        <w:rPr>
          <w:spacing w:val="-5"/>
          <w:sz w:val="20"/>
        </w:rPr>
        <w:t xml:space="preserve"> </w:t>
      </w:r>
      <w:r>
        <w:rPr>
          <w:sz w:val="20"/>
        </w:rPr>
        <w:t>members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public,</w:t>
      </w:r>
      <w:r>
        <w:rPr>
          <w:spacing w:val="-5"/>
          <w:sz w:val="20"/>
        </w:rPr>
        <w:t xml:space="preserve"> </w:t>
      </w:r>
      <w:r>
        <w:rPr>
          <w:sz w:val="20"/>
        </w:rPr>
        <w:t>as</w:t>
      </w:r>
      <w:r>
        <w:rPr>
          <w:spacing w:val="-4"/>
          <w:sz w:val="20"/>
        </w:rPr>
        <w:t xml:space="preserve"> </w:t>
      </w:r>
      <w:r>
        <w:rPr>
          <w:sz w:val="20"/>
        </w:rPr>
        <w:t>needed;</w:t>
      </w:r>
    </w:p>
    <w:p w14:paraId="336D976A" w14:textId="77777777" w:rsidR="00543F7A" w:rsidRDefault="00543F7A" w:rsidP="00543F7A">
      <w:pPr>
        <w:pStyle w:val="ListParagraph"/>
        <w:numPr>
          <w:ilvl w:val="2"/>
          <w:numId w:val="6"/>
        </w:numPr>
        <w:tabs>
          <w:tab w:val="left" w:pos="1181"/>
        </w:tabs>
        <w:spacing w:before="1"/>
        <w:ind w:left="1180" w:right="589"/>
        <w:rPr>
          <w:sz w:val="20"/>
        </w:rPr>
      </w:pPr>
      <w:r>
        <w:rPr>
          <w:sz w:val="20"/>
        </w:rPr>
        <w:t>Appoint special subcommittees necessary to investigate any matters before</w:t>
      </w:r>
      <w:r>
        <w:rPr>
          <w:spacing w:val="-36"/>
          <w:sz w:val="20"/>
        </w:rPr>
        <w:t xml:space="preserve"> </w:t>
      </w:r>
      <w:r>
        <w:rPr>
          <w:sz w:val="20"/>
        </w:rPr>
        <w:t>the Commission;</w:t>
      </w:r>
    </w:p>
    <w:p w14:paraId="0E5685BE" w14:textId="77777777" w:rsidR="00543F7A" w:rsidRDefault="00543F7A" w:rsidP="00543F7A">
      <w:pPr>
        <w:pStyle w:val="ListParagraph"/>
        <w:numPr>
          <w:ilvl w:val="2"/>
          <w:numId w:val="6"/>
        </w:numPr>
        <w:tabs>
          <w:tab w:val="left" w:pos="1181"/>
        </w:tabs>
        <w:spacing w:line="232" w:lineRule="exact"/>
        <w:ind w:left="1180"/>
        <w:rPr>
          <w:sz w:val="20"/>
        </w:rPr>
      </w:pPr>
      <w:r>
        <w:rPr>
          <w:sz w:val="20"/>
        </w:rPr>
        <w:t>Assign Commission members to special</w:t>
      </w:r>
      <w:r>
        <w:rPr>
          <w:spacing w:val="-17"/>
          <w:sz w:val="20"/>
        </w:rPr>
        <w:t xml:space="preserve"> </w:t>
      </w:r>
      <w:r>
        <w:rPr>
          <w:sz w:val="20"/>
        </w:rPr>
        <w:t>subcommittees;</w:t>
      </w:r>
    </w:p>
    <w:p w14:paraId="28558166" w14:textId="77777777" w:rsidR="00543F7A" w:rsidRDefault="00543F7A" w:rsidP="00543F7A">
      <w:pPr>
        <w:pStyle w:val="ListParagraph"/>
        <w:numPr>
          <w:ilvl w:val="2"/>
          <w:numId w:val="6"/>
        </w:numPr>
        <w:tabs>
          <w:tab w:val="left" w:pos="1180"/>
          <w:tab w:val="left" w:pos="1181"/>
        </w:tabs>
        <w:ind w:left="1180" w:right="485"/>
        <w:rPr>
          <w:sz w:val="20"/>
        </w:rPr>
      </w:pPr>
      <w:r>
        <w:rPr>
          <w:sz w:val="20"/>
        </w:rPr>
        <w:t>Sign documents on behalf of the Commission, or delegate another member to</w:t>
      </w:r>
      <w:r>
        <w:rPr>
          <w:spacing w:val="-20"/>
          <w:sz w:val="20"/>
        </w:rPr>
        <w:t xml:space="preserve"> </w:t>
      </w:r>
      <w:r>
        <w:rPr>
          <w:sz w:val="20"/>
        </w:rPr>
        <w:t>do so;</w:t>
      </w:r>
      <w:r>
        <w:rPr>
          <w:spacing w:val="-1"/>
          <w:sz w:val="20"/>
        </w:rPr>
        <w:t xml:space="preserve"> </w:t>
      </w:r>
      <w:r>
        <w:rPr>
          <w:sz w:val="20"/>
        </w:rPr>
        <w:t>and</w:t>
      </w:r>
    </w:p>
    <w:p w14:paraId="7351E272" w14:textId="77777777" w:rsidR="00543F7A" w:rsidRDefault="00543F7A" w:rsidP="00543F7A">
      <w:pPr>
        <w:pStyle w:val="ListParagraph"/>
        <w:numPr>
          <w:ilvl w:val="2"/>
          <w:numId w:val="6"/>
        </w:numPr>
        <w:tabs>
          <w:tab w:val="left" w:pos="1181"/>
        </w:tabs>
        <w:spacing w:before="1"/>
        <w:ind w:left="1180" w:right="559"/>
        <w:rPr>
          <w:sz w:val="20"/>
        </w:rPr>
      </w:pPr>
      <w:r>
        <w:rPr>
          <w:sz w:val="20"/>
        </w:rPr>
        <w:t>Present the Commission’s recommendations and decisions to City Council or delegate</w:t>
      </w:r>
      <w:r>
        <w:rPr>
          <w:spacing w:val="-22"/>
          <w:sz w:val="20"/>
        </w:rPr>
        <w:t xml:space="preserve"> </w:t>
      </w:r>
      <w:r>
        <w:rPr>
          <w:sz w:val="20"/>
        </w:rPr>
        <w:t>another member to do</w:t>
      </w:r>
      <w:r>
        <w:rPr>
          <w:spacing w:val="-11"/>
          <w:sz w:val="20"/>
        </w:rPr>
        <w:t xml:space="preserve"> </w:t>
      </w:r>
      <w:r>
        <w:rPr>
          <w:sz w:val="20"/>
        </w:rPr>
        <w:t>so.</w:t>
      </w:r>
    </w:p>
    <w:p w14:paraId="276918B1" w14:textId="77777777" w:rsidR="00543F7A" w:rsidRDefault="00543F7A" w:rsidP="00543F7A">
      <w:pPr>
        <w:pStyle w:val="BodyText"/>
        <w:spacing w:before="11"/>
        <w:rPr>
          <w:sz w:val="19"/>
        </w:rPr>
      </w:pPr>
    </w:p>
    <w:p w14:paraId="05E4F9B9" w14:textId="77777777" w:rsidR="00543F7A" w:rsidRDefault="00543F7A" w:rsidP="00543F7A">
      <w:pPr>
        <w:pStyle w:val="Heading2"/>
        <w:numPr>
          <w:ilvl w:val="1"/>
          <w:numId w:val="6"/>
        </w:numPr>
        <w:tabs>
          <w:tab w:val="left" w:pos="821"/>
        </w:tabs>
        <w:ind w:left="820" w:hanging="360"/>
      </w:pPr>
      <w:r>
        <w:t>Vice-Chair</w:t>
      </w:r>
    </w:p>
    <w:p w14:paraId="3C4CE342" w14:textId="77777777" w:rsidR="00543F7A" w:rsidRDefault="00543F7A" w:rsidP="00543F7A">
      <w:pPr>
        <w:pStyle w:val="BodyText"/>
        <w:ind w:left="820" w:right="98"/>
      </w:pPr>
      <w:r>
        <w:t xml:space="preserve">The Commission annually elects one member as Vice-Chair. The Vice-Chair serves as Acting Chair if the Chair is absent or the office of Chair becomes vacant. During such times, the Acting Chair has the same powers and duties as the Chair. </w:t>
      </w:r>
    </w:p>
    <w:p w14:paraId="6CB72587" w14:textId="77777777" w:rsidR="00543F7A" w:rsidRDefault="00543F7A" w:rsidP="00543F7A">
      <w:pPr>
        <w:pStyle w:val="BodyText"/>
        <w:spacing w:before="11"/>
        <w:rPr>
          <w:sz w:val="19"/>
        </w:rPr>
      </w:pPr>
    </w:p>
    <w:p w14:paraId="4927A1FB" w14:textId="77777777" w:rsidR="00543F7A" w:rsidRDefault="00543F7A" w:rsidP="00543F7A">
      <w:pPr>
        <w:pStyle w:val="Heading2"/>
        <w:numPr>
          <w:ilvl w:val="1"/>
          <w:numId w:val="6"/>
        </w:numPr>
        <w:tabs>
          <w:tab w:val="left" w:pos="821"/>
        </w:tabs>
        <w:ind w:left="820" w:hanging="360"/>
      </w:pPr>
      <w:r>
        <w:t>Other</w:t>
      </w:r>
      <w:r>
        <w:rPr>
          <w:spacing w:val="-11"/>
        </w:rPr>
        <w:t xml:space="preserve"> </w:t>
      </w:r>
      <w:r>
        <w:t>Officers</w:t>
      </w:r>
    </w:p>
    <w:p w14:paraId="4427C429" w14:textId="4CD398D7" w:rsidR="004E3E2C" w:rsidRDefault="004E3E2C" w:rsidP="004E3E2C">
      <w:pPr>
        <w:pStyle w:val="BodyText"/>
        <w:ind w:left="810" w:right="282"/>
      </w:pPr>
      <w:r>
        <w:t>The Commission may elect other officers it deems necessary to conduct Commission business, including electing a Commissioner to temporarily act as Chair when both the Chair and Vice-Chair are absent.  Such officers are elected by a majority of the Commission members. Election of a temporary Chair shall be done at the beginning of a hearing.  The Commission specifies the officer’s charge and the duration of the appointment, if any.</w:t>
      </w:r>
    </w:p>
    <w:p w14:paraId="4A7D620F" w14:textId="77777777" w:rsidR="00543F7A" w:rsidRDefault="00543F7A" w:rsidP="00543F7A">
      <w:pPr>
        <w:pStyle w:val="BodyText"/>
        <w:spacing w:before="11"/>
        <w:rPr>
          <w:sz w:val="19"/>
        </w:rPr>
      </w:pPr>
    </w:p>
    <w:p w14:paraId="4727B8D5" w14:textId="77777777" w:rsidR="00543F7A" w:rsidRDefault="00543F7A" w:rsidP="00543F7A">
      <w:pPr>
        <w:pStyle w:val="Heading2"/>
        <w:numPr>
          <w:ilvl w:val="1"/>
          <w:numId w:val="6"/>
        </w:numPr>
        <w:tabs>
          <w:tab w:val="left" w:pos="821"/>
        </w:tabs>
        <w:spacing w:line="232" w:lineRule="exact"/>
        <w:ind w:left="820" w:hanging="360"/>
      </w:pPr>
      <w:r>
        <w:t>Elections</w:t>
      </w:r>
    </w:p>
    <w:p w14:paraId="59EAA5FC" w14:textId="61C0A437" w:rsidR="00543F7A" w:rsidRDefault="00543F7A" w:rsidP="00543F7A">
      <w:pPr>
        <w:ind w:left="820" w:right="923"/>
        <w:rPr>
          <w:i/>
          <w:sz w:val="20"/>
        </w:rPr>
      </w:pPr>
      <w:r w:rsidRPr="009A6618">
        <w:rPr>
          <w:iCs/>
          <w:sz w:val="20"/>
        </w:rPr>
        <w:t xml:space="preserve">The election of officers takes place at the first meeting of each calendar year. </w:t>
      </w:r>
    </w:p>
    <w:p w14:paraId="19EE8FE3" w14:textId="77777777" w:rsidR="00543F7A" w:rsidRDefault="00543F7A" w:rsidP="00543F7A">
      <w:pPr>
        <w:pStyle w:val="BodyText"/>
        <w:rPr>
          <w:i/>
        </w:rPr>
      </w:pPr>
    </w:p>
    <w:p w14:paraId="7012BB0C" w14:textId="77777777" w:rsidR="00543F7A" w:rsidRDefault="00543F7A" w:rsidP="00543F7A">
      <w:pPr>
        <w:pStyle w:val="BodyText"/>
        <w:ind w:left="820" w:right="479"/>
      </w:pPr>
      <w:r>
        <w:t>If the seats of the Chair and Vice-Chair become vacant before the end of their terms, the Commission immediately holds a special election to fill the vacant seats for the remainder of the current term.</w:t>
      </w:r>
    </w:p>
    <w:p w14:paraId="199EB56C" w14:textId="77777777" w:rsidR="00543F7A" w:rsidRDefault="00543F7A" w:rsidP="00543F7A">
      <w:pPr>
        <w:pStyle w:val="BodyText"/>
      </w:pPr>
    </w:p>
    <w:p w14:paraId="38FB3CCE" w14:textId="4415C6B7" w:rsidR="00590594" w:rsidRDefault="00543F7A" w:rsidP="004E3E2C">
      <w:pPr>
        <w:pStyle w:val="BodyText"/>
        <w:ind w:left="820" w:right="282"/>
      </w:pPr>
      <w:r>
        <w:t xml:space="preserve">When conducting elections, the sitting Chair first requests nominations from Commission members. If only one member is nominated, the election may be confirmed by unanimous consent. If more than one member is nominated, the Chair announces the names of all members nominated, then conducts a vote on each nominee, in the order nominated, until someone is elected. The favorable vote of a majority of Commission members present is necessary to elect a member as Chair or Vice-Chair. </w:t>
      </w:r>
    </w:p>
    <w:p w14:paraId="75849FE5" w14:textId="77777777" w:rsidR="00F12745" w:rsidRDefault="0008003D" w:rsidP="004E3E2C">
      <w:pPr>
        <w:pStyle w:val="Heading1"/>
        <w:numPr>
          <w:ilvl w:val="0"/>
          <w:numId w:val="6"/>
        </w:numPr>
        <w:tabs>
          <w:tab w:val="left" w:pos="460"/>
        </w:tabs>
        <w:spacing w:before="240"/>
        <w:ind w:left="461"/>
      </w:pPr>
      <w:r>
        <w:t>Committees</w:t>
      </w:r>
    </w:p>
    <w:p w14:paraId="7BF701F5" w14:textId="77777777" w:rsidR="00F12745" w:rsidRDefault="00F12745">
      <w:pPr>
        <w:pStyle w:val="BodyText"/>
        <w:spacing w:before="11"/>
        <w:rPr>
          <w:sz w:val="19"/>
        </w:rPr>
      </w:pPr>
    </w:p>
    <w:p w14:paraId="4E131840" w14:textId="77777777" w:rsidR="00F12745" w:rsidRDefault="0008003D">
      <w:pPr>
        <w:pStyle w:val="Heading2"/>
        <w:numPr>
          <w:ilvl w:val="1"/>
          <w:numId w:val="6"/>
        </w:numPr>
        <w:tabs>
          <w:tab w:val="left" w:pos="820"/>
        </w:tabs>
        <w:ind w:left="819" w:hanging="359"/>
      </w:pPr>
      <w:r>
        <w:t>Special</w:t>
      </w:r>
      <w:r>
        <w:rPr>
          <w:spacing w:val="-17"/>
        </w:rPr>
        <w:t xml:space="preserve"> </w:t>
      </w:r>
      <w:r>
        <w:t>Subcommittees</w:t>
      </w:r>
    </w:p>
    <w:p w14:paraId="4D964004" w14:textId="77777777" w:rsidR="00F12745" w:rsidRDefault="00AE1F87">
      <w:pPr>
        <w:ind w:left="819" w:right="321"/>
        <w:rPr>
          <w:i/>
          <w:sz w:val="20"/>
        </w:rPr>
      </w:pPr>
      <w:r w:rsidRPr="00AE1F87">
        <w:rPr>
          <w:i/>
          <w:sz w:val="20"/>
        </w:rPr>
        <w:t xml:space="preserve">The Historic Landmarks Commission may divide its membership into special subcommittees which are authorized to act on behalf of the Commission for an assigned purpose. Three members of the Commission constitute a quorum on such subcommittees. Subcommittee actions require the affirmative vote of at least three members. </w:t>
      </w:r>
      <w:r>
        <w:rPr>
          <w:i/>
          <w:sz w:val="20"/>
        </w:rPr>
        <w:t>(33.710.06</w:t>
      </w:r>
      <w:r w:rsidR="0008003D">
        <w:rPr>
          <w:i/>
          <w:sz w:val="20"/>
        </w:rPr>
        <w:t>0.C.2.)</w:t>
      </w:r>
    </w:p>
    <w:p w14:paraId="1822C175" w14:textId="77777777" w:rsidR="00F12745" w:rsidRDefault="00F12745">
      <w:pPr>
        <w:pStyle w:val="BodyText"/>
        <w:spacing w:before="11"/>
        <w:rPr>
          <w:i/>
          <w:sz w:val="19"/>
        </w:rPr>
      </w:pPr>
    </w:p>
    <w:p w14:paraId="08645D7B" w14:textId="36F8BD66" w:rsidR="00F12745" w:rsidRDefault="00733279" w:rsidP="00D0673A">
      <w:pPr>
        <w:pStyle w:val="BodyText"/>
        <w:numPr>
          <w:ilvl w:val="2"/>
          <w:numId w:val="6"/>
        </w:numPr>
      </w:pPr>
      <w:r>
        <w:t>Members of s</w:t>
      </w:r>
      <w:r w:rsidR="0008003D">
        <w:t xml:space="preserve">uch subcommittees are appointed by the Chair. The </w:t>
      </w:r>
      <w:r>
        <w:t xml:space="preserve">Commission </w:t>
      </w:r>
      <w:r w:rsidR="0008003D">
        <w:t>specifies each subcommittee’s charge, reporting schedule, and its date of termination. The Chair may also appoint a Subcommittee Chair.</w:t>
      </w:r>
    </w:p>
    <w:p w14:paraId="7F86B4D0" w14:textId="77777777" w:rsidR="00D0673A" w:rsidRDefault="00D0673A" w:rsidP="00D0673A">
      <w:pPr>
        <w:pStyle w:val="BodyText"/>
        <w:ind w:left="1179"/>
      </w:pPr>
    </w:p>
    <w:p w14:paraId="08DD0836" w14:textId="4BA86002" w:rsidR="00D0673A" w:rsidRDefault="00D0673A" w:rsidP="00D0673A">
      <w:pPr>
        <w:pStyle w:val="ListParagraph"/>
        <w:numPr>
          <w:ilvl w:val="2"/>
          <w:numId w:val="6"/>
        </w:numPr>
        <w:rPr>
          <w:sz w:val="20"/>
        </w:rPr>
      </w:pPr>
      <w:r w:rsidRPr="00451725">
        <w:rPr>
          <w:sz w:val="20"/>
        </w:rPr>
        <w:t xml:space="preserve">The </w:t>
      </w:r>
      <w:r>
        <w:rPr>
          <w:sz w:val="20"/>
        </w:rPr>
        <w:t>Historic Landmarks</w:t>
      </w:r>
      <w:r w:rsidRPr="00451725">
        <w:rPr>
          <w:sz w:val="20"/>
        </w:rPr>
        <w:t xml:space="preserve"> Commission may divide its members into subcommittees authorized to act on behalf of the Commission for Design Advice Requests (DAR), briefings </w:t>
      </w:r>
      <w:r w:rsidRPr="00451725">
        <w:rPr>
          <w:sz w:val="20"/>
        </w:rPr>
        <w:lastRenderedPageBreak/>
        <w:t>or other advisory sessions that do not involve land use decisions.</w:t>
      </w:r>
    </w:p>
    <w:p w14:paraId="25158A64" w14:textId="14CA327A" w:rsidR="00F12745" w:rsidRDefault="00F12745">
      <w:pPr>
        <w:pStyle w:val="BodyText"/>
        <w:spacing w:before="10"/>
        <w:rPr>
          <w:sz w:val="17"/>
        </w:rPr>
      </w:pPr>
    </w:p>
    <w:p w14:paraId="466ADCAB" w14:textId="77777777" w:rsidR="00F12745" w:rsidRDefault="0008003D">
      <w:pPr>
        <w:pStyle w:val="Heading1"/>
        <w:numPr>
          <w:ilvl w:val="0"/>
          <w:numId w:val="6"/>
        </w:numPr>
        <w:tabs>
          <w:tab w:val="left" w:pos="461"/>
        </w:tabs>
        <w:ind w:left="460"/>
      </w:pPr>
      <w:r>
        <w:t>Meetings</w:t>
      </w:r>
    </w:p>
    <w:p w14:paraId="551F64D6" w14:textId="77777777" w:rsidR="00D0673A" w:rsidRDefault="00D0673A">
      <w:pPr>
        <w:spacing w:before="1"/>
        <w:ind w:left="460"/>
        <w:rPr>
          <w:i/>
          <w:sz w:val="20"/>
        </w:rPr>
      </w:pPr>
    </w:p>
    <w:p w14:paraId="0CA06AC2" w14:textId="3F12F3CA" w:rsidR="00F12745" w:rsidRDefault="0008003D">
      <w:pPr>
        <w:spacing w:before="1"/>
        <w:ind w:left="460"/>
        <w:rPr>
          <w:i/>
          <w:sz w:val="20"/>
        </w:rPr>
      </w:pPr>
      <w:r>
        <w:rPr>
          <w:i/>
          <w:sz w:val="20"/>
        </w:rPr>
        <w:t>Meetings are conducted in accordance with adopted rules of procedure. (33.710.040.C.1.)</w:t>
      </w:r>
    </w:p>
    <w:p w14:paraId="012C57C4" w14:textId="77777777" w:rsidR="00F12745" w:rsidRDefault="00F12745">
      <w:pPr>
        <w:pStyle w:val="BodyText"/>
        <w:rPr>
          <w:i/>
        </w:rPr>
      </w:pPr>
    </w:p>
    <w:p w14:paraId="1D2FB207" w14:textId="77777777" w:rsidR="00F12745" w:rsidRDefault="0008003D">
      <w:pPr>
        <w:pStyle w:val="Heading2"/>
        <w:numPr>
          <w:ilvl w:val="1"/>
          <w:numId w:val="6"/>
        </w:numPr>
        <w:tabs>
          <w:tab w:val="left" w:pos="820"/>
        </w:tabs>
        <w:ind w:left="820" w:hanging="360"/>
      </w:pPr>
      <w:r>
        <w:t>Public</w:t>
      </w:r>
      <w:r>
        <w:rPr>
          <w:spacing w:val="-1"/>
        </w:rPr>
        <w:t xml:space="preserve"> </w:t>
      </w:r>
      <w:r>
        <w:t>meetings</w:t>
      </w:r>
    </w:p>
    <w:p w14:paraId="49CD7662" w14:textId="2B160E20" w:rsidR="00F12745" w:rsidRDefault="0008003D">
      <w:pPr>
        <w:ind w:left="819"/>
        <w:rPr>
          <w:i/>
          <w:sz w:val="20"/>
        </w:rPr>
      </w:pPr>
      <w:r>
        <w:rPr>
          <w:i/>
          <w:sz w:val="20"/>
        </w:rPr>
        <w:t>All meetings, including briefing sessions, must be open to the public and comply with the Oregon Public Meetings law. (33.710.030.F.)</w:t>
      </w:r>
    </w:p>
    <w:p w14:paraId="0828B254" w14:textId="35179323" w:rsidR="00543F7A" w:rsidRDefault="00543F7A">
      <w:pPr>
        <w:ind w:left="819"/>
        <w:rPr>
          <w:i/>
          <w:sz w:val="20"/>
        </w:rPr>
      </w:pPr>
    </w:p>
    <w:p w14:paraId="2A50E55E" w14:textId="77777777" w:rsidR="00543F7A" w:rsidRDefault="00543F7A" w:rsidP="00543F7A">
      <w:pPr>
        <w:pStyle w:val="Heading2"/>
        <w:numPr>
          <w:ilvl w:val="1"/>
          <w:numId w:val="6"/>
        </w:numPr>
        <w:tabs>
          <w:tab w:val="left" w:pos="820"/>
        </w:tabs>
        <w:ind w:left="820" w:hanging="360"/>
      </w:pPr>
      <w:r>
        <w:t>Attendance</w:t>
      </w:r>
    </w:p>
    <w:p w14:paraId="7C7C0FC0" w14:textId="4C891350" w:rsidR="00543F7A" w:rsidRDefault="00543F7A" w:rsidP="00543F7A">
      <w:pPr>
        <w:pStyle w:val="BodyText"/>
        <w:ind w:left="819" w:right="307"/>
      </w:pPr>
      <w:r>
        <w:t>Commission members are responsible for attending all regular Commission meetings in</w:t>
      </w:r>
      <w:r w:rsidR="00774DC9">
        <w:t>-</w:t>
      </w:r>
      <w:r>
        <w:t xml:space="preserve">person, </w:t>
      </w:r>
      <w:r w:rsidR="00774DC9">
        <w:t>or by</w:t>
      </w:r>
      <w:r>
        <w:t xml:space="preserve"> telephone</w:t>
      </w:r>
      <w:r w:rsidR="00774DC9">
        <w:t>, video, or</w:t>
      </w:r>
      <w:r>
        <w:t xml:space="preserve"> other electronic </w:t>
      </w:r>
      <w:r w:rsidR="00774DC9">
        <w:t xml:space="preserve">or virtual </w:t>
      </w:r>
      <w:r>
        <w:t>means. Commission members who expect to be absent from a meeting must notify the Bureau of Development Services within 48 hours of the meeting.</w:t>
      </w:r>
    </w:p>
    <w:p w14:paraId="3E753954" w14:textId="77777777" w:rsidR="00543F7A" w:rsidRDefault="00543F7A" w:rsidP="00543F7A">
      <w:pPr>
        <w:pStyle w:val="BodyText"/>
        <w:spacing w:before="11"/>
        <w:rPr>
          <w:sz w:val="19"/>
        </w:rPr>
      </w:pPr>
    </w:p>
    <w:p w14:paraId="6A4369A6" w14:textId="3EB99045" w:rsidR="00590594" w:rsidRDefault="00543F7A" w:rsidP="00543F7A">
      <w:pPr>
        <w:ind w:left="819" w:right="301"/>
        <w:rPr>
          <w:i/>
          <w:sz w:val="20"/>
        </w:rPr>
      </w:pPr>
      <w:r>
        <w:rPr>
          <w:i/>
          <w:sz w:val="20"/>
        </w:rPr>
        <w:t>If a member fails to attend three consecutive meetings or misses 20 percent or more of the meetings held during a calendar year, the Mayor may declare the position vacant. (33.710.030.B.)</w:t>
      </w:r>
    </w:p>
    <w:p w14:paraId="7E87CC43" w14:textId="77777777" w:rsidR="00F12745" w:rsidRDefault="00F12745">
      <w:pPr>
        <w:pStyle w:val="BodyText"/>
        <w:spacing w:before="11"/>
        <w:rPr>
          <w:i/>
          <w:sz w:val="19"/>
        </w:rPr>
      </w:pPr>
    </w:p>
    <w:p w14:paraId="3AB42904" w14:textId="77777777" w:rsidR="00F12745" w:rsidRDefault="0008003D">
      <w:pPr>
        <w:pStyle w:val="Heading2"/>
        <w:numPr>
          <w:ilvl w:val="1"/>
          <w:numId w:val="6"/>
        </w:numPr>
        <w:tabs>
          <w:tab w:val="left" w:pos="820"/>
        </w:tabs>
        <w:spacing w:line="232" w:lineRule="exact"/>
        <w:ind w:left="819" w:hanging="359"/>
      </w:pPr>
      <w:r>
        <w:t>Quorum</w:t>
      </w:r>
    </w:p>
    <w:p w14:paraId="2C964FE7" w14:textId="7635CBD0" w:rsidR="00F12745" w:rsidRDefault="00C60DEA">
      <w:pPr>
        <w:spacing w:line="232" w:lineRule="exact"/>
        <w:ind w:left="819"/>
        <w:rPr>
          <w:i/>
          <w:sz w:val="20"/>
        </w:rPr>
      </w:pPr>
      <w:r>
        <w:rPr>
          <w:i/>
          <w:sz w:val="20"/>
        </w:rPr>
        <w:t>Four</w:t>
      </w:r>
      <w:r w:rsidR="0008003D">
        <w:rPr>
          <w:i/>
          <w:sz w:val="20"/>
        </w:rPr>
        <w:t xml:space="preserve"> members constitute </w:t>
      </w:r>
      <w:r>
        <w:rPr>
          <w:i/>
          <w:sz w:val="20"/>
        </w:rPr>
        <w:t>a quorum at a meeting (33.710.0</w:t>
      </w:r>
      <w:r w:rsidR="00CE7AB5">
        <w:rPr>
          <w:i/>
          <w:sz w:val="20"/>
        </w:rPr>
        <w:t>6</w:t>
      </w:r>
      <w:r w:rsidR="0008003D">
        <w:rPr>
          <w:i/>
          <w:sz w:val="20"/>
        </w:rPr>
        <w:t>0).</w:t>
      </w:r>
    </w:p>
    <w:p w14:paraId="1D841568" w14:textId="77777777" w:rsidR="00F12745" w:rsidRDefault="00F12745">
      <w:pPr>
        <w:pStyle w:val="BodyText"/>
        <w:rPr>
          <w:i/>
        </w:rPr>
      </w:pPr>
    </w:p>
    <w:p w14:paraId="5DCDCBC3" w14:textId="2CA66251" w:rsidR="00D0673A" w:rsidRDefault="00D0673A" w:rsidP="00D0673A">
      <w:pPr>
        <w:pStyle w:val="ListParagraph"/>
        <w:numPr>
          <w:ilvl w:val="2"/>
          <w:numId w:val="6"/>
        </w:numPr>
        <w:tabs>
          <w:tab w:val="left" w:pos="1180"/>
        </w:tabs>
        <w:ind w:right="793" w:hanging="359"/>
        <w:rPr>
          <w:sz w:val="20"/>
        </w:rPr>
      </w:pPr>
      <w:r>
        <w:rPr>
          <w:sz w:val="20"/>
        </w:rPr>
        <w:t>A quorum is necessary for proceedings on land use review applications including but not limited to Historic Resource Reviews.</w:t>
      </w:r>
    </w:p>
    <w:p w14:paraId="1DA4832E" w14:textId="77777777" w:rsidR="00DB485F" w:rsidRDefault="00DB485F" w:rsidP="00DB485F">
      <w:pPr>
        <w:pStyle w:val="ListParagraph"/>
        <w:tabs>
          <w:tab w:val="left" w:pos="1180"/>
        </w:tabs>
        <w:spacing w:before="1"/>
        <w:ind w:right="704" w:firstLine="0"/>
        <w:rPr>
          <w:sz w:val="20"/>
        </w:rPr>
      </w:pPr>
    </w:p>
    <w:p w14:paraId="78219D45" w14:textId="5E006726" w:rsidR="00F12745" w:rsidRDefault="0008003D" w:rsidP="000E4322">
      <w:pPr>
        <w:pStyle w:val="Heading2"/>
        <w:numPr>
          <w:ilvl w:val="1"/>
          <w:numId w:val="6"/>
        </w:numPr>
        <w:tabs>
          <w:tab w:val="left" w:pos="820"/>
        </w:tabs>
        <w:spacing w:before="90"/>
      </w:pPr>
      <w:r>
        <w:t>Schedule</w:t>
      </w:r>
    </w:p>
    <w:p w14:paraId="2FF706BF" w14:textId="159F40D3" w:rsidR="00F12745" w:rsidRPr="00797635" w:rsidRDefault="0008003D" w:rsidP="00797635">
      <w:pPr>
        <w:pStyle w:val="ListParagraph"/>
        <w:numPr>
          <w:ilvl w:val="0"/>
          <w:numId w:val="13"/>
        </w:numPr>
        <w:tabs>
          <w:tab w:val="left" w:pos="720"/>
          <w:tab w:val="left" w:pos="900"/>
        </w:tabs>
        <w:spacing w:line="232" w:lineRule="exact"/>
        <w:ind w:left="1170"/>
        <w:rPr>
          <w:sz w:val="20"/>
        </w:rPr>
      </w:pPr>
      <w:r w:rsidRPr="00797635">
        <w:rPr>
          <w:sz w:val="20"/>
        </w:rPr>
        <w:t>Regular Meetings</w:t>
      </w:r>
      <w:r w:rsidR="00797635">
        <w:rPr>
          <w:sz w:val="20"/>
        </w:rPr>
        <w:t xml:space="preserve">.  </w:t>
      </w:r>
      <w:r w:rsidRPr="00797635">
        <w:rPr>
          <w:sz w:val="20"/>
        </w:rPr>
        <w:t xml:space="preserve">The Commission will hold meetings on the </w:t>
      </w:r>
      <w:r w:rsidR="00CE7AB5">
        <w:rPr>
          <w:sz w:val="20"/>
        </w:rPr>
        <w:t>second</w:t>
      </w:r>
      <w:r w:rsidR="000904B9" w:rsidRPr="00797635">
        <w:rPr>
          <w:sz w:val="20"/>
        </w:rPr>
        <w:t xml:space="preserve"> and </w:t>
      </w:r>
      <w:r w:rsidR="00CE7AB5">
        <w:rPr>
          <w:sz w:val="20"/>
        </w:rPr>
        <w:t>fourth</w:t>
      </w:r>
      <w:r w:rsidRPr="00797635">
        <w:rPr>
          <w:sz w:val="20"/>
        </w:rPr>
        <w:t xml:space="preserve"> </w:t>
      </w:r>
      <w:r w:rsidR="002C5584" w:rsidRPr="00797635">
        <w:rPr>
          <w:sz w:val="20"/>
        </w:rPr>
        <w:t>Mondays</w:t>
      </w:r>
      <w:r w:rsidR="000904B9" w:rsidRPr="00797635">
        <w:rPr>
          <w:sz w:val="20"/>
        </w:rPr>
        <w:t xml:space="preserve"> of the month at 1</w:t>
      </w:r>
      <w:r w:rsidRPr="00797635">
        <w:rPr>
          <w:sz w:val="20"/>
        </w:rPr>
        <w:t>:30</w:t>
      </w:r>
      <w:r w:rsidR="00CE7AB5">
        <w:rPr>
          <w:sz w:val="20"/>
        </w:rPr>
        <w:t>pm</w:t>
      </w:r>
      <w:r w:rsidRPr="00797635">
        <w:rPr>
          <w:sz w:val="20"/>
        </w:rPr>
        <w:t xml:space="preserve">. Meeting times may be changed by the </w:t>
      </w:r>
      <w:r w:rsidR="00C868C0" w:rsidRPr="00797635">
        <w:rPr>
          <w:sz w:val="20"/>
        </w:rPr>
        <w:t>Bureau of Development Services</w:t>
      </w:r>
      <w:r w:rsidRPr="00797635">
        <w:rPr>
          <w:sz w:val="20"/>
        </w:rPr>
        <w:t>. Any schedule updates or changes are published at least seven calendar days before the meeting date.</w:t>
      </w:r>
    </w:p>
    <w:p w14:paraId="32CA922C" w14:textId="77777777" w:rsidR="00F12745" w:rsidRPr="00797635" w:rsidRDefault="00F12745">
      <w:pPr>
        <w:pStyle w:val="BodyText"/>
        <w:spacing w:before="1"/>
        <w:rPr>
          <w:szCs w:val="22"/>
        </w:rPr>
      </w:pPr>
    </w:p>
    <w:p w14:paraId="2F637023" w14:textId="3162430F" w:rsidR="00F12745" w:rsidRPr="00797635" w:rsidRDefault="0008003D" w:rsidP="00797635">
      <w:pPr>
        <w:pStyle w:val="ListParagraph"/>
        <w:numPr>
          <w:ilvl w:val="0"/>
          <w:numId w:val="13"/>
        </w:numPr>
        <w:tabs>
          <w:tab w:val="left" w:pos="1180"/>
        </w:tabs>
        <w:spacing w:line="232" w:lineRule="exact"/>
        <w:ind w:left="1170"/>
        <w:rPr>
          <w:sz w:val="20"/>
        </w:rPr>
      </w:pPr>
      <w:r w:rsidRPr="00797635">
        <w:rPr>
          <w:sz w:val="20"/>
        </w:rPr>
        <w:t>Special Meetings</w:t>
      </w:r>
      <w:r w:rsidR="00797635">
        <w:rPr>
          <w:sz w:val="20"/>
        </w:rPr>
        <w:t xml:space="preserve">.  </w:t>
      </w:r>
      <w:r w:rsidRPr="00797635">
        <w:rPr>
          <w:sz w:val="20"/>
        </w:rPr>
        <w:t xml:space="preserve">The </w:t>
      </w:r>
      <w:r w:rsidR="000904B9" w:rsidRPr="00797635">
        <w:rPr>
          <w:sz w:val="20"/>
        </w:rPr>
        <w:t>Bureau of Development Services</w:t>
      </w:r>
      <w:r w:rsidRPr="00797635">
        <w:rPr>
          <w:sz w:val="20"/>
        </w:rPr>
        <w:t xml:space="preserve"> may call a special meeting of the Commission at any time and place. Special meetings are subject to the same notification </w:t>
      </w:r>
      <w:r w:rsidR="00733279" w:rsidRPr="00797635">
        <w:rPr>
          <w:sz w:val="20"/>
        </w:rPr>
        <w:t xml:space="preserve">and public meeting </w:t>
      </w:r>
      <w:r w:rsidRPr="00797635">
        <w:rPr>
          <w:sz w:val="20"/>
        </w:rPr>
        <w:t>requirements as regular meetings.</w:t>
      </w:r>
    </w:p>
    <w:p w14:paraId="14D1C6C2" w14:textId="77777777" w:rsidR="00F12745" w:rsidRDefault="00F12745">
      <w:pPr>
        <w:pStyle w:val="BodyText"/>
      </w:pPr>
    </w:p>
    <w:p w14:paraId="4EC2C45C" w14:textId="387591AE" w:rsidR="00F12745" w:rsidRDefault="0008003D" w:rsidP="00797635">
      <w:pPr>
        <w:pStyle w:val="Heading2"/>
        <w:numPr>
          <w:ilvl w:val="1"/>
          <w:numId w:val="6"/>
        </w:numPr>
        <w:tabs>
          <w:tab w:val="left" w:pos="820"/>
        </w:tabs>
      </w:pPr>
      <w:r>
        <w:t>Public</w:t>
      </w:r>
      <w:r>
        <w:rPr>
          <w:spacing w:val="-10"/>
        </w:rPr>
        <w:t xml:space="preserve"> </w:t>
      </w:r>
      <w:r>
        <w:t>Notice</w:t>
      </w:r>
    </w:p>
    <w:p w14:paraId="20F3ECFE" w14:textId="5B6E52BF" w:rsidR="000F529E" w:rsidRDefault="000F529E" w:rsidP="00797635">
      <w:pPr>
        <w:pStyle w:val="Heading2"/>
        <w:numPr>
          <w:ilvl w:val="0"/>
          <w:numId w:val="15"/>
        </w:numPr>
        <w:tabs>
          <w:tab w:val="left" w:pos="820"/>
        </w:tabs>
        <w:ind w:left="1260"/>
        <w:rPr>
          <w:b w:val="0"/>
          <w:i/>
        </w:rPr>
      </w:pPr>
      <w:r w:rsidRPr="000F529E">
        <w:rPr>
          <w:b w:val="0"/>
          <w:i/>
        </w:rPr>
        <w:t xml:space="preserve">Mailed notice. At least 20 days before </w:t>
      </w:r>
      <w:r w:rsidR="00774DC9">
        <w:rPr>
          <w:b w:val="0"/>
          <w:i/>
        </w:rPr>
        <w:t>the</w:t>
      </w:r>
      <w:r w:rsidRPr="000F529E">
        <w:rPr>
          <w:b w:val="0"/>
          <w:i/>
        </w:rPr>
        <w:t xml:space="preserve"> scheduled hearing, the Director of BDS will mail a notice of the request to the regional transit agency, Metro, the Oregon Department of Transportation, the owner, the applicant if different, all property owners within 400 feet of the site when inside the Urban Growth Boundary (UGB) and within 500 feet when outside the UGB, to the recognized organization(s) in which the lot is located, and to all recognized organizations within 1,000 feet of the lot.</w:t>
      </w:r>
      <w:r>
        <w:rPr>
          <w:b w:val="0"/>
          <w:i/>
        </w:rPr>
        <w:t xml:space="preserve"> (33.730.030.</w:t>
      </w:r>
      <w:r w:rsidR="00774DC9">
        <w:rPr>
          <w:b w:val="0"/>
          <w:i/>
        </w:rPr>
        <w:t>E</w:t>
      </w:r>
      <w:r>
        <w:rPr>
          <w:b w:val="0"/>
          <w:i/>
        </w:rPr>
        <w:t>)</w:t>
      </w:r>
    </w:p>
    <w:p w14:paraId="06A351FE" w14:textId="77777777" w:rsidR="000E4322" w:rsidRDefault="000E4322" w:rsidP="00797635">
      <w:pPr>
        <w:pStyle w:val="Heading2"/>
        <w:tabs>
          <w:tab w:val="left" w:pos="820"/>
        </w:tabs>
        <w:ind w:left="1260"/>
        <w:rPr>
          <w:b w:val="0"/>
          <w:i/>
        </w:rPr>
      </w:pPr>
    </w:p>
    <w:p w14:paraId="48D79182" w14:textId="77777777" w:rsidR="000F529E" w:rsidRPr="000F529E" w:rsidRDefault="000F529E" w:rsidP="00797635">
      <w:pPr>
        <w:pStyle w:val="Heading2"/>
        <w:numPr>
          <w:ilvl w:val="0"/>
          <w:numId w:val="15"/>
        </w:numPr>
        <w:tabs>
          <w:tab w:val="left" w:pos="820"/>
        </w:tabs>
        <w:ind w:left="1260"/>
        <w:rPr>
          <w:b w:val="0"/>
          <w:i/>
        </w:rPr>
      </w:pPr>
      <w:r w:rsidRPr="000F529E">
        <w:rPr>
          <w:b w:val="0"/>
          <w:i/>
        </w:rPr>
        <w:t>Posting notice on the site. The applicant must place a public notice about the request on the site. The posting must meet the standards of 33.730.080.</w:t>
      </w:r>
    </w:p>
    <w:p w14:paraId="10F5FBC6" w14:textId="15F04FA4" w:rsidR="00F12745" w:rsidRDefault="00F12745">
      <w:pPr>
        <w:pStyle w:val="BodyText"/>
        <w:spacing w:before="11"/>
        <w:rPr>
          <w:sz w:val="19"/>
        </w:rPr>
      </w:pPr>
    </w:p>
    <w:p w14:paraId="47C8A2B6" w14:textId="6B33E920" w:rsidR="00F12745" w:rsidRDefault="0008003D" w:rsidP="00797635">
      <w:pPr>
        <w:pStyle w:val="Heading2"/>
        <w:numPr>
          <w:ilvl w:val="1"/>
          <w:numId w:val="6"/>
        </w:numPr>
        <w:tabs>
          <w:tab w:val="left" w:pos="820"/>
        </w:tabs>
        <w:spacing w:line="232" w:lineRule="exact"/>
      </w:pPr>
      <w:r>
        <w:t>Agenda</w:t>
      </w:r>
    </w:p>
    <w:p w14:paraId="3F7B9255" w14:textId="401ECFD8" w:rsidR="00797635" w:rsidRDefault="00797635" w:rsidP="00797635">
      <w:pPr>
        <w:pStyle w:val="BodyText"/>
        <w:ind w:left="810" w:right="154"/>
      </w:pPr>
      <w:r>
        <w:t xml:space="preserve">The Bureau of Development Services prepares the Commission agenda. The agenda is </w:t>
      </w:r>
      <w:r w:rsidR="00774DC9">
        <w:t>regularly updated and available online</w:t>
      </w:r>
      <w:r>
        <w:t xml:space="preserve"> to the </w:t>
      </w:r>
      <w:r w:rsidR="00774DC9">
        <w:t xml:space="preserve">Historic Landmarks </w:t>
      </w:r>
      <w:r>
        <w:t xml:space="preserve">Commission and the public.  </w:t>
      </w:r>
    </w:p>
    <w:p w14:paraId="27223785" w14:textId="11966091" w:rsidR="00DE7F3B" w:rsidRDefault="00DE7F3B" w:rsidP="00797635">
      <w:pPr>
        <w:pStyle w:val="Heading2"/>
        <w:tabs>
          <w:tab w:val="left" w:pos="820"/>
        </w:tabs>
        <w:ind w:left="0" w:firstLine="0"/>
        <w:rPr>
          <w:b w:val="0"/>
          <w:bCs w:val="0"/>
        </w:rPr>
      </w:pPr>
    </w:p>
    <w:p w14:paraId="72EE0218" w14:textId="61D89B0E" w:rsidR="00041F97" w:rsidRDefault="00041F97" w:rsidP="00DE7F3B">
      <w:pPr>
        <w:pStyle w:val="Heading2"/>
        <w:numPr>
          <w:ilvl w:val="1"/>
          <w:numId w:val="6"/>
        </w:numPr>
        <w:tabs>
          <w:tab w:val="left" w:pos="820"/>
        </w:tabs>
      </w:pPr>
      <w:r>
        <w:t>Minutes</w:t>
      </w:r>
    </w:p>
    <w:p w14:paraId="2FD3570B" w14:textId="65877BBF" w:rsidR="001B1BFF" w:rsidRPr="001B1BFF" w:rsidRDefault="001B1BFF" w:rsidP="001B1BFF">
      <w:pPr>
        <w:pStyle w:val="Heading2"/>
        <w:tabs>
          <w:tab w:val="left" w:pos="820"/>
        </w:tabs>
        <w:ind w:firstLine="0"/>
        <w:rPr>
          <w:b w:val="0"/>
          <w:i/>
        </w:rPr>
      </w:pPr>
      <w:r w:rsidRPr="001B1BFF">
        <w:rPr>
          <w:b w:val="0"/>
          <w:i/>
        </w:rPr>
        <w:t>The Director of the Bureau of Development Services keeps an accurate record or minutes of all proceedings of the Commission.</w:t>
      </w:r>
      <w:r w:rsidR="0053691C">
        <w:rPr>
          <w:b w:val="0"/>
          <w:i/>
        </w:rPr>
        <w:t xml:space="preserve"> (33.710.030.H)</w:t>
      </w:r>
    </w:p>
    <w:p w14:paraId="125C3DD0" w14:textId="77777777" w:rsidR="00225903" w:rsidRPr="00041F97" w:rsidRDefault="00225903" w:rsidP="00225903">
      <w:pPr>
        <w:pStyle w:val="Heading2"/>
        <w:tabs>
          <w:tab w:val="left" w:pos="820"/>
        </w:tabs>
        <w:ind w:firstLine="0"/>
      </w:pPr>
    </w:p>
    <w:p w14:paraId="77BC0CD5" w14:textId="77777777" w:rsidR="00225903" w:rsidRPr="00755424" w:rsidRDefault="00225903" w:rsidP="00225903">
      <w:pPr>
        <w:pStyle w:val="Heading1"/>
        <w:numPr>
          <w:ilvl w:val="0"/>
          <w:numId w:val="6"/>
        </w:numPr>
        <w:tabs>
          <w:tab w:val="left" w:pos="460"/>
        </w:tabs>
        <w:ind w:hanging="359"/>
      </w:pPr>
      <w:r w:rsidRPr="00755424">
        <w:t>Meetings for Design Advice Requests (33.730.050.B)</w:t>
      </w:r>
    </w:p>
    <w:p w14:paraId="04453108" w14:textId="77777777" w:rsidR="00225903" w:rsidRPr="00755424" w:rsidRDefault="00225903" w:rsidP="00225903">
      <w:pPr>
        <w:pStyle w:val="Heading1"/>
        <w:numPr>
          <w:ilvl w:val="1"/>
          <w:numId w:val="6"/>
        </w:numPr>
        <w:tabs>
          <w:tab w:val="left" w:pos="460"/>
        </w:tabs>
        <w:spacing w:before="240"/>
        <w:rPr>
          <w:b w:val="0"/>
          <w:bCs w:val="0"/>
          <w:i/>
          <w:iCs/>
          <w:sz w:val="20"/>
          <w:szCs w:val="20"/>
        </w:rPr>
      </w:pPr>
      <w:r w:rsidRPr="00755424">
        <w:rPr>
          <w:i/>
          <w:iCs/>
          <w:sz w:val="20"/>
          <w:szCs w:val="20"/>
        </w:rPr>
        <w:t>Purpose</w:t>
      </w:r>
    </w:p>
    <w:p w14:paraId="6D76B7E0" w14:textId="791875CB" w:rsidR="00225903" w:rsidRPr="00755424" w:rsidRDefault="00225903" w:rsidP="00225903">
      <w:pPr>
        <w:pStyle w:val="Heading1"/>
        <w:tabs>
          <w:tab w:val="left" w:pos="460"/>
        </w:tabs>
        <w:ind w:left="907" w:firstLine="0"/>
        <w:rPr>
          <w:b w:val="0"/>
          <w:bCs w:val="0"/>
          <w:i/>
          <w:iCs/>
          <w:sz w:val="20"/>
          <w:szCs w:val="20"/>
        </w:rPr>
      </w:pPr>
      <w:r w:rsidRPr="00755424">
        <w:rPr>
          <w:b w:val="0"/>
          <w:bCs w:val="0"/>
          <w:i/>
          <w:iCs/>
          <w:sz w:val="20"/>
          <w:szCs w:val="20"/>
        </w:rPr>
        <w:t>Design advice requests provide a public forum for the preliminary discussion and exchange of information between the applicant, BDS staff, the public, and the representative commission. An applicant may request advice from the Design Commission or Historic Landmarks Commission prior to submitting a land use request.</w:t>
      </w:r>
      <w:r w:rsidRPr="00755424">
        <w:rPr>
          <w:i/>
          <w:iCs/>
          <w:sz w:val="20"/>
          <w:szCs w:val="20"/>
        </w:rPr>
        <w:t xml:space="preserve"> </w:t>
      </w:r>
    </w:p>
    <w:p w14:paraId="7E790083" w14:textId="77777777" w:rsidR="00225903" w:rsidRPr="00755424" w:rsidRDefault="00225903" w:rsidP="00225903">
      <w:pPr>
        <w:pStyle w:val="Heading1"/>
        <w:numPr>
          <w:ilvl w:val="1"/>
          <w:numId w:val="6"/>
        </w:numPr>
        <w:tabs>
          <w:tab w:val="left" w:pos="460"/>
        </w:tabs>
        <w:spacing w:before="240"/>
        <w:rPr>
          <w:b w:val="0"/>
          <w:bCs w:val="0"/>
          <w:i/>
          <w:iCs/>
          <w:sz w:val="20"/>
          <w:szCs w:val="20"/>
        </w:rPr>
      </w:pPr>
      <w:r w:rsidRPr="00755424">
        <w:rPr>
          <w:i/>
          <w:iCs/>
          <w:sz w:val="20"/>
          <w:szCs w:val="20"/>
        </w:rPr>
        <w:t>Requirements</w:t>
      </w:r>
    </w:p>
    <w:p w14:paraId="0315906A" w14:textId="77777777" w:rsidR="00225903" w:rsidRPr="00755424" w:rsidRDefault="00225903" w:rsidP="00225903">
      <w:pPr>
        <w:pStyle w:val="Heading1"/>
        <w:tabs>
          <w:tab w:val="left" w:pos="460"/>
        </w:tabs>
        <w:ind w:left="907" w:firstLine="0"/>
        <w:rPr>
          <w:b w:val="0"/>
          <w:bCs w:val="0"/>
          <w:i/>
          <w:iCs/>
          <w:sz w:val="20"/>
          <w:szCs w:val="20"/>
        </w:rPr>
      </w:pPr>
      <w:r w:rsidRPr="00755424">
        <w:rPr>
          <w:b w:val="0"/>
          <w:bCs w:val="0"/>
          <w:i/>
          <w:iCs/>
          <w:sz w:val="20"/>
          <w:szCs w:val="20"/>
        </w:rPr>
        <w:t xml:space="preserve">Forms for design advice requests are available from the Director of BDS. A fee is required and must be paid at the time of the submittal for the design advice request. The applicant must submit a written proposal, information on the physical and social characteristics of the area, a conceptual site plan and elevations of the project. The applicant may also include details of the project that are associated with specific questions they may have as part of the design advice request. The design advice request must be held within 56 days of receipt of a completed request form. </w:t>
      </w:r>
    </w:p>
    <w:p w14:paraId="6D51D87E" w14:textId="77777777" w:rsidR="00225903" w:rsidRPr="00755424" w:rsidRDefault="00225903" w:rsidP="00225903">
      <w:pPr>
        <w:pStyle w:val="Heading1"/>
        <w:numPr>
          <w:ilvl w:val="1"/>
          <w:numId w:val="6"/>
        </w:numPr>
        <w:tabs>
          <w:tab w:val="left" w:pos="460"/>
        </w:tabs>
        <w:spacing w:before="240"/>
        <w:rPr>
          <w:b w:val="0"/>
          <w:bCs w:val="0"/>
          <w:i/>
          <w:iCs/>
          <w:sz w:val="20"/>
          <w:szCs w:val="20"/>
        </w:rPr>
      </w:pPr>
      <w:r w:rsidRPr="00755424">
        <w:rPr>
          <w:i/>
          <w:iCs/>
          <w:sz w:val="20"/>
          <w:szCs w:val="20"/>
        </w:rPr>
        <w:t>Notification</w:t>
      </w:r>
      <w:r w:rsidRPr="00755424">
        <w:rPr>
          <w:b w:val="0"/>
          <w:bCs w:val="0"/>
          <w:i/>
          <w:iCs/>
          <w:sz w:val="20"/>
          <w:szCs w:val="20"/>
        </w:rPr>
        <w:t xml:space="preserve"> </w:t>
      </w:r>
    </w:p>
    <w:p w14:paraId="77EB5D7F" w14:textId="77777777" w:rsidR="00225903" w:rsidRPr="00755424" w:rsidRDefault="00225903" w:rsidP="00225903">
      <w:pPr>
        <w:pStyle w:val="Heading1"/>
        <w:tabs>
          <w:tab w:val="left" w:pos="460"/>
        </w:tabs>
        <w:ind w:left="907" w:firstLine="0"/>
        <w:rPr>
          <w:b w:val="0"/>
          <w:bCs w:val="0"/>
          <w:i/>
          <w:iCs/>
          <w:sz w:val="20"/>
          <w:szCs w:val="20"/>
        </w:rPr>
      </w:pPr>
      <w:r w:rsidRPr="00755424">
        <w:rPr>
          <w:b w:val="0"/>
          <w:bCs w:val="0"/>
          <w:i/>
          <w:iCs/>
          <w:sz w:val="20"/>
          <w:szCs w:val="20"/>
        </w:rPr>
        <w:t xml:space="preserve">The following notification will be provided prior to the design advice request meeting: </w:t>
      </w:r>
    </w:p>
    <w:p w14:paraId="1B6ECE7F" w14:textId="77777777" w:rsidR="00225903" w:rsidRPr="00755424" w:rsidRDefault="00225903" w:rsidP="00225903">
      <w:pPr>
        <w:pStyle w:val="Heading1"/>
        <w:numPr>
          <w:ilvl w:val="2"/>
          <w:numId w:val="6"/>
        </w:numPr>
        <w:tabs>
          <w:tab w:val="left" w:pos="460"/>
        </w:tabs>
        <w:spacing w:before="240"/>
        <w:ind w:left="1260"/>
        <w:rPr>
          <w:b w:val="0"/>
          <w:bCs w:val="0"/>
          <w:i/>
          <w:iCs/>
          <w:sz w:val="20"/>
          <w:szCs w:val="20"/>
        </w:rPr>
      </w:pPr>
      <w:r w:rsidRPr="00755424">
        <w:rPr>
          <w:b w:val="0"/>
          <w:bCs w:val="0"/>
          <w:i/>
          <w:iCs/>
          <w:sz w:val="20"/>
          <w:szCs w:val="20"/>
        </w:rPr>
        <w:t xml:space="preserve">Mailed notice. At least 20 days before the scheduled meeting, the Director of BDS will mail a notice of the request to the owner, the applicant if different, all property owners within 400 feet of the site, and to recognized organizations in which the site is located. The notice should include the file number, the name of the person requesting the advice, the name of the property owner, the name and phone number of the BDS staff member assigned to the file, the date of the meeting, the address or geographic location of the request, the current zoning of the site, a brief description of the proposal, and a conceptual site plan. </w:t>
      </w:r>
    </w:p>
    <w:p w14:paraId="04F48D45" w14:textId="77777777" w:rsidR="00225903" w:rsidRPr="00755424" w:rsidRDefault="00225903" w:rsidP="00225903">
      <w:pPr>
        <w:pStyle w:val="Heading1"/>
        <w:numPr>
          <w:ilvl w:val="2"/>
          <w:numId w:val="6"/>
        </w:numPr>
        <w:tabs>
          <w:tab w:val="left" w:pos="460"/>
        </w:tabs>
        <w:spacing w:before="240"/>
        <w:ind w:left="1260"/>
        <w:rPr>
          <w:b w:val="0"/>
          <w:bCs w:val="0"/>
          <w:i/>
          <w:iCs/>
          <w:sz w:val="20"/>
          <w:szCs w:val="20"/>
        </w:rPr>
      </w:pPr>
      <w:r w:rsidRPr="00755424">
        <w:rPr>
          <w:b w:val="0"/>
          <w:bCs w:val="0"/>
          <w:i/>
          <w:iCs/>
          <w:sz w:val="20"/>
          <w:szCs w:val="20"/>
        </w:rPr>
        <w:t xml:space="preserve">Posting notice on the site. At least 20 days before the scheduled meeting, the person requesting the advice must place a public notice of the design advice request adjacent to each street frontage on the site. The notice should include the file number, the date of the meeting, the name and phone number of the BDS staff member assigned to the file, the current zoning of the site, and a brief description of the proposal. </w:t>
      </w:r>
    </w:p>
    <w:p w14:paraId="34DC4D35" w14:textId="77777777" w:rsidR="00225903" w:rsidRPr="00755424" w:rsidRDefault="00225903" w:rsidP="00225903">
      <w:pPr>
        <w:pStyle w:val="Heading1"/>
        <w:numPr>
          <w:ilvl w:val="1"/>
          <w:numId w:val="6"/>
        </w:numPr>
        <w:tabs>
          <w:tab w:val="left" w:pos="460"/>
        </w:tabs>
        <w:spacing w:before="240"/>
        <w:rPr>
          <w:b w:val="0"/>
          <w:bCs w:val="0"/>
          <w:i/>
          <w:iCs/>
          <w:sz w:val="20"/>
          <w:szCs w:val="20"/>
        </w:rPr>
      </w:pPr>
      <w:r w:rsidRPr="00755424">
        <w:rPr>
          <w:i/>
          <w:iCs/>
          <w:sz w:val="20"/>
          <w:szCs w:val="20"/>
        </w:rPr>
        <w:t>Meeting</w:t>
      </w:r>
      <w:r w:rsidRPr="00755424">
        <w:rPr>
          <w:b w:val="0"/>
          <w:bCs w:val="0"/>
          <w:i/>
          <w:iCs/>
          <w:sz w:val="20"/>
          <w:szCs w:val="20"/>
        </w:rPr>
        <w:t xml:space="preserve"> </w:t>
      </w:r>
    </w:p>
    <w:p w14:paraId="028ACC7D" w14:textId="77777777" w:rsidR="00225903" w:rsidRPr="00755424" w:rsidRDefault="00225903" w:rsidP="00225903">
      <w:pPr>
        <w:pStyle w:val="Heading1"/>
        <w:tabs>
          <w:tab w:val="left" w:pos="460"/>
        </w:tabs>
        <w:ind w:left="907" w:firstLine="0"/>
        <w:rPr>
          <w:b w:val="0"/>
          <w:bCs w:val="0"/>
          <w:i/>
          <w:iCs/>
          <w:sz w:val="20"/>
          <w:szCs w:val="20"/>
        </w:rPr>
      </w:pPr>
      <w:r w:rsidRPr="00755424">
        <w:rPr>
          <w:b w:val="0"/>
          <w:bCs w:val="0"/>
          <w:i/>
          <w:iCs/>
          <w:sz w:val="20"/>
          <w:szCs w:val="20"/>
        </w:rPr>
        <w:t xml:space="preserve">The design advice request meetings are limited to one meeting per application. Additional meetings may be granted for proposals that include more than one building proposed on a site. </w:t>
      </w:r>
    </w:p>
    <w:p w14:paraId="21D38FE9" w14:textId="77777777" w:rsidR="00225903" w:rsidRPr="00755424" w:rsidRDefault="00225903" w:rsidP="00225903">
      <w:pPr>
        <w:pStyle w:val="Heading1"/>
        <w:numPr>
          <w:ilvl w:val="1"/>
          <w:numId w:val="6"/>
        </w:numPr>
        <w:tabs>
          <w:tab w:val="left" w:pos="460"/>
        </w:tabs>
        <w:spacing w:before="240"/>
        <w:rPr>
          <w:b w:val="0"/>
          <w:bCs w:val="0"/>
          <w:i/>
          <w:iCs/>
          <w:sz w:val="20"/>
          <w:szCs w:val="20"/>
        </w:rPr>
      </w:pPr>
      <w:r w:rsidRPr="00755424">
        <w:rPr>
          <w:i/>
          <w:iCs/>
          <w:sz w:val="20"/>
          <w:szCs w:val="20"/>
        </w:rPr>
        <w:t>Design advice request recommendations</w:t>
      </w:r>
    </w:p>
    <w:p w14:paraId="4C448F79" w14:textId="77777777" w:rsidR="00225903" w:rsidRPr="006474D6" w:rsidRDefault="00225903" w:rsidP="00225903">
      <w:pPr>
        <w:pStyle w:val="Heading1"/>
        <w:tabs>
          <w:tab w:val="left" w:pos="460"/>
        </w:tabs>
        <w:ind w:left="907" w:firstLine="0"/>
        <w:rPr>
          <w:b w:val="0"/>
          <w:bCs w:val="0"/>
          <w:i/>
          <w:iCs/>
          <w:sz w:val="20"/>
          <w:szCs w:val="20"/>
        </w:rPr>
      </w:pPr>
      <w:r w:rsidRPr="00755424">
        <w:rPr>
          <w:b w:val="0"/>
          <w:bCs w:val="0"/>
          <w:i/>
          <w:iCs/>
          <w:sz w:val="20"/>
          <w:szCs w:val="20"/>
        </w:rPr>
        <w:t>BDS staff will mail the applicant a written summary of the design advice request within 21 days of the meeting. The written summary will include suggestions and information that were raised at the meeting for inclusion in the land use application.</w:t>
      </w:r>
    </w:p>
    <w:p w14:paraId="7D40FDC7" w14:textId="77777777" w:rsidR="00225903" w:rsidRPr="006474D6" w:rsidRDefault="00225903" w:rsidP="00225903">
      <w:pPr>
        <w:pStyle w:val="Heading1"/>
        <w:tabs>
          <w:tab w:val="left" w:pos="460"/>
        </w:tabs>
        <w:ind w:firstLine="0"/>
        <w:rPr>
          <w:b w:val="0"/>
          <w:bCs w:val="0"/>
          <w:sz w:val="20"/>
          <w:szCs w:val="20"/>
        </w:rPr>
      </w:pPr>
    </w:p>
    <w:p w14:paraId="1885FD1D" w14:textId="56FB65C2" w:rsidR="00377C5D" w:rsidRPr="00252EBD" w:rsidRDefault="00377C5D" w:rsidP="00377C5D">
      <w:pPr>
        <w:pStyle w:val="Heading2"/>
        <w:tabs>
          <w:tab w:val="left" w:pos="820"/>
        </w:tabs>
        <w:ind w:left="0" w:firstLine="0"/>
        <w:rPr>
          <w:b w:val="0"/>
        </w:rPr>
      </w:pPr>
    </w:p>
    <w:p w14:paraId="588C4924" w14:textId="01C579DF" w:rsidR="00041F97" w:rsidRPr="00724C00" w:rsidRDefault="00041F97" w:rsidP="00041F97">
      <w:pPr>
        <w:pStyle w:val="Heading1"/>
        <w:numPr>
          <w:ilvl w:val="0"/>
          <w:numId w:val="6"/>
        </w:numPr>
        <w:tabs>
          <w:tab w:val="left" w:pos="460"/>
        </w:tabs>
        <w:ind w:hanging="359"/>
      </w:pPr>
      <w:r>
        <w:t>Decisions</w:t>
      </w:r>
      <w:r w:rsidR="00DA08EC">
        <w:t xml:space="preserve"> </w:t>
      </w:r>
      <w:r w:rsidR="00DA08EC" w:rsidRPr="008B463C">
        <w:t>and Recommendations</w:t>
      </w:r>
    </w:p>
    <w:p w14:paraId="24D68AD3" w14:textId="77777777" w:rsidR="00DE7F3B" w:rsidRPr="00724C00" w:rsidRDefault="00DE7F3B" w:rsidP="00041F97">
      <w:pPr>
        <w:pStyle w:val="BodyText"/>
        <w:spacing w:before="2"/>
        <w:ind w:left="460"/>
      </w:pPr>
    </w:p>
    <w:p w14:paraId="18DEDB13" w14:textId="076B89C2" w:rsidR="00041F97" w:rsidRPr="00724C00" w:rsidRDefault="00041F97" w:rsidP="00041F97">
      <w:pPr>
        <w:pStyle w:val="BodyText"/>
        <w:spacing w:before="2"/>
        <w:ind w:left="460"/>
      </w:pPr>
      <w:r w:rsidRPr="00724C00">
        <w:t xml:space="preserve">Decisions </w:t>
      </w:r>
      <w:r w:rsidR="009C2459" w:rsidRPr="008B463C">
        <w:t>and recommendations</w:t>
      </w:r>
      <w:r w:rsidR="009C2459" w:rsidRPr="00724C00">
        <w:t xml:space="preserve"> </w:t>
      </w:r>
      <w:r w:rsidRPr="00724C00">
        <w:t>by the Commission are made by a vote.</w:t>
      </w:r>
      <w:r w:rsidR="00225903">
        <w:t xml:space="preserve"> This section (G) does not apply to Design Advice Requests.</w:t>
      </w:r>
    </w:p>
    <w:p w14:paraId="38871815" w14:textId="77777777" w:rsidR="00041F97" w:rsidRPr="00724C00" w:rsidRDefault="00041F97" w:rsidP="00041F97">
      <w:pPr>
        <w:pStyle w:val="BodyText"/>
        <w:spacing w:before="11"/>
        <w:rPr>
          <w:sz w:val="23"/>
        </w:rPr>
      </w:pPr>
    </w:p>
    <w:p w14:paraId="3AEB308A" w14:textId="2B196F8D" w:rsidR="00DA08EC" w:rsidRPr="008B463C" w:rsidRDefault="00DA08EC" w:rsidP="00DA08EC">
      <w:pPr>
        <w:pStyle w:val="Heading2"/>
        <w:numPr>
          <w:ilvl w:val="1"/>
          <w:numId w:val="6"/>
        </w:numPr>
        <w:tabs>
          <w:tab w:val="left" w:pos="820"/>
        </w:tabs>
      </w:pPr>
      <w:r w:rsidRPr="008B463C">
        <w:t>Commission recommendation (Type IV, legislative and other)</w:t>
      </w:r>
    </w:p>
    <w:p w14:paraId="66C10FFB" w14:textId="03CE6458" w:rsidR="007E6D2A" w:rsidRDefault="00DA08EC">
      <w:pPr>
        <w:pStyle w:val="Heading2"/>
        <w:tabs>
          <w:tab w:val="left" w:pos="820"/>
        </w:tabs>
        <w:ind w:firstLine="0"/>
        <w:rPr>
          <w:b w:val="0"/>
        </w:rPr>
      </w:pPr>
      <w:bookmarkStart w:id="0" w:name="_Hlk503940951"/>
      <w:r w:rsidRPr="008B463C">
        <w:rPr>
          <w:b w:val="0"/>
        </w:rPr>
        <w:t xml:space="preserve">For Type IV quasi-judicial cases, the Commission will provide a recommendation to City </w:t>
      </w:r>
      <w:r w:rsidRPr="008B463C">
        <w:rPr>
          <w:b w:val="0"/>
        </w:rPr>
        <w:lastRenderedPageBreak/>
        <w:t>Council</w:t>
      </w:r>
      <w:r w:rsidR="007E6D2A">
        <w:rPr>
          <w:b w:val="0"/>
        </w:rPr>
        <w:t xml:space="preserve">.  </w:t>
      </w:r>
      <w:r w:rsidR="00724C00" w:rsidRPr="00724C00">
        <w:rPr>
          <w:b w:val="0"/>
        </w:rPr>
        <w:t>For legislative</w:t>
      </w:r>
      <w:r w:rsidR="00DD6E8C">
        <w:rPr>
          <w:b w:val="0"/>
        </w:rPr>
        <w:t xml:space="preserve"> projects</w:t>
      </w:r>
      <w:r w:rsidR="00D8518B">
        <w:rPr>
          <w:b w:val="0"/>
        </w:rPr>
        <w:t>,</w:t>
      </w:r>
      <w:r w:rsidR="00724C00" w:rsidRPr="00724C00">
        <w:rPr>
          <w:b w:val="0"/>
        </w:rPr>
        <w:t xml:space="preserve"> non-case project</w:t>
      </w:r>
      <w:r w:rsidR="00DD6E8C">
        <w:rPr>
          <w:b w:val="0"/>
        </w:rPr>
        <w:t>s</w:t>
      </w:r>
      <w:r w:rsidR="000D0C39">
        <w:rPr>
          <w:b w:val="0"/>
        </w:rPr>
        <w:t xml:space="preserve">, </w:t>
      </w:r>
      <w:r w:rsidR="000A20F3">
        <w:rPr>
          <w:b w:val="0"/>
        </w:rPr>
        <w:t xml:space="preserve">and </w:t>
      </w:r>
      <w:r w:rsidR="000D0C39" w:rsidRPr="00E13A5B">
        <w:rPr>
          <w:b w:val="0"/>
        </w:rPr>
        <w:t>National Register nominations</w:t>
      </w:r>
      <w:r w:rsidR="003E75EA">
        <w:rPr>
          <w:b w:val="0"/>
        </w:rPr>
        <w:t>,</w:t>
      </w:r>
      <w:r w:rsidR="00DD6E8C">
        <w:rPr>
          <w:b w:val="0"/>
        </w:rPr>
        <w:t xml:space="preserve"> </w:t>
      </w:r>
      <w:r w:rsidR="00724C00" w:rsidRPr="00724C00">
        <w:rPr>
          <w:b w:val="0"/>
        </w:rPr>
        <w:t xml:space="preserve">the Commission will provide a recommendation to </w:t>
      </w:r>
      <w:r w:rsidR="00DD6E8C">
        <w:rPr>
          <w:b w:val="0"/>
        </w:rPr>
        <w:t xml:space="preserve">City </w:t>
      </w:r>
      <w:r w:rsidR="00724C00" w:rsidRPr="008B463C">
        <w:rPr>
          <w:b w:val="0"/>
        </w:rPr>
        <w:t>Council, City Bureaus, other City review bodies, and/or other government agencies</w:t>
      </w:r>
      <w:r w:rsidR="00724C00" w:rsidRPr="00724C00">
        <w:rPr>
          <w:b w:val="0"/>
        </w:rPr>
        <w:t>.</w:t>
      </w:r>
      <w:r w:rsidR="00DD6E8C">
        <w:rPr>
          <w:b w:val="0"/>
        </w:rPr>
        <w:t xml:space="preserve">  </w:t>
      </w:r>
      <w:r w:rsidR="007E6D2A" w:rsidRPr="00E13A5B">
        <w:rPr>
          <w:b w:val="0"/>
        </w:rPr>
        <w:t xml:space="preserve">The Commission shall vote on </w:t>
      </w:r>
      <w:r w:rsidR="00DD7905">
        <w:rPr>
          <w:b w:val="0"/>
        </w:rPr>
        <w:t>a</w:t>
      </w:r>
      <w:r w:rsidR="007E6D2A" w:rsidRPr="00E13A5B">
        <w:rPr>
          <w:b w:val="0"/>
        </w:rPr>
        <w:t xml:space="preserve"> </w:t>
      </w:r>
      <w:r w:rsidR="00DD6E8C">
        <w:rPr>
          <w:b w:val="0"/>
        </w:rPr>
        <w:t>recommendation</w:t>
      </w:r>
      <w:r w:rsidR="00DD7905">
        <w:rPr>
          <w:b w:val="0"/>
        </w:rPr>
        <w:t>.</w:t>
      </w:r>
    </w:p>
    <w:bookmarkEnd w:id="0"/>
    <w:p w14:paraId="34DA10F7" w14:textId="77777777" w:rsidR="00DA08EC" w:rsidRDefault="00DA08EC" w:rsidP="00DA08EC">
      <w:pPr>
        <w:pStyle w:val="Heading2"/>
        <w:tabs>
          <w:tab w:val="left" w:pos="820"/>
        </w:tabs>
      </w:pPr>
    </w:p>
    <w:p w14:paraId="31B3AF9A" w14:textId="52ABF33E" w:rsidR="00CE7225" w:rsidRDefault="00CE7225" w:rsidP="00DA08EC">
      <w:pPr>
        <w:pStyle w:val="Heading2"/>
        <w:numPr>
          <w:ilvl w:val="1"/>
          <w:numId w:val="6"/>
        </w:numPr>
        <w:tabs>
          <w:tab w:val="left" w:pos="820"/>
        </w:tabs>
        <w:ind w:left="819" w:hanging="359"/>
      </w:pPr>
      <w:r>
        <w:t>BDS Recommendation</w:t>
      </w:r>
      <w:r w:rsidR="00733279">
        <w:t xml:space="preserve"> (Type III cases)</w:t>
      </w:r>
    </w:p>
    <w:p w14:paraId="556475D8" w14:textId="7BA43E3A" w:rsidR="00CE7225" w:rsidRDefault="00733279" w:rsidP="00CE7225">
      <w:pPr>
        <w:pStyle w:val="Heading2"/>
        <w:tabs>
          <w:tab w:val="left" w:pos="820"/>
        </w:tabs>
        <w:ind w:left="819" w:firstLine="0"/>
        <w:rPr>
          <w:b w:val="0"/>
          <w:i/>
        </w:rPr>
      </w:pPr>
      <w:r>
        <w:rPr>
          <w:b w:val="0"/>
          <w:i/>
        </w:rPr>
        <w:t>For Type III quasi-judicial cases, t</w:t>
      </w:r>
      <w:r w:rsidR="00CE7225" w:rsidRPr="00CE7225">
        <w:rPr>
          <w:b w:val="0"/>
          <w:i/>
        </w:rPr>
        <w:t>he Director of BDS will prepare a report with recommendations, and file the report with the review body and make the report available to the public at least 10 days prior to the hearing. A copy will be mailed to the applicant and to any recognized organizations whose boundaries include the site.</w:t>
      </w:r>
      <w:r w:rsidR="00CE7225">
        <w:rPr>
          <w:b w:val="0"/>
          <w:i/>
        </w:rPr>
        <w:t xml:space="preserve"> (33.730.030.E)</w:t>
      </w:r>
    </w:p>
    <w:p w14:paraId="0A09C394" w14:textId="77777777" w:rsidR="00733279" w:rsidRDefault="00733279" w:rsidP="00CE7225">
      <w:pPr>
        <w:pStyle w:val="Heading2"/>
        <w:tabs>
          <w:tab w:val="left" w:pos="820"/>
        </w:tabs>
        <w:ind w:left="819" w:firstLine="0"/>
        <w:rPr>
          <w:b w:val="0"/>
          <w:i/>
        </w:rPr>
      </w:pPr>
    </w:p>
    <w:p w14:paraId="33A0ABA8" w14:textId="77777777" w:rsidR="00733279" w:rsidRDefault="00733279" w:rsidP="00733279">
      <w:pPr>
        <w:pStyle w:val="Heading2"/>
        <w:numPr>
          <w:ilvl w:val="1"/>
          <w:numId w:val="6"/>
        </w:numPr>
        <w:tabs>
          <w:tab w:val="left" w:pos="820"/>
        </w:tabs>
        <w:ind w:left="819" w:hanging="359"/>
      </w:pPr>
      <w:r>
        <w:t>Appeals to Commission (Type II and IIx cases)</w:t>
      </w:r>
    </w:p>
    <w:p w14:paraId="34756B77" w14:textId="13BB29A9" w:rsidR="00377C5D" w:rsidRPr="00DA08EC" w:rsidRDefault="00733279" w:rsidP="00DA08EC">
      <w:pPr>
        <w:pStyle w:val="Heading2"/>
        <w:tabs>
          <w:tab w:val="left" w:pos="820"/>
        </w:tabs>
        <w:ind w:left="819" w:firstLine="0"/>
        <w:rPr>
          <w:b w:val="0"/>
          <w:i/>
        </w:rPr>
      </w:pPr>
      <w:r w:rsidRPr="0048152B">
        <w:rPr>
          <w:b w:val="0"/>
        </w:rPr>
        <w:t>For Type II and IIx quasi-judicial cases</w:t>
      </w:r>
      <w:r>
        <w:rPr>
          <w:b w:val="0"/>
          <w:i/>
        </w:rPr>
        <w:t xml:space="preserve">, </w:t>
      </w:r>
      <w:r w:rsidR="007518F3">
        <w:rPr>
          <w:b w:val="0"/>
          <w:i/>
        </w:rPr>
        <w:t>[</w:t>
      </w:r>
      <w:r>
        <w:rPr>
          <w:b w:val="0"/>
          <w:i/>
        </w:rPr>
        <w:t>t</w:t>
      </w:r>
      <w:r w:rsidR="007518F3">
        <w:rPr>
          <w:b w:val="0"/>
          <w:i/>
        </w:rPr>
        <w:t>]</w:t>
      </w:r>
      <w:r w:rsidRPr="00CE7225">
        <w:rPr>
          <w:b w:val="0"/>
          <w:i/>
        </w:rPr>
        <w:t>he Director of BDS</w:t>
      </w:r>
      <w:r w:rsidR="007518F3">
        <w:rPr>
          <w:b w:val="0"/>
          <w:i/>
        </w:rPr>
        <w:t xml:space="preserve"> will</w:t>
      </w:r>
      <w:r w:rsidRPr="00CE7225">
        <w:rPr>
          <w:b w:val="0"/>
          <w:i/>
        </w:rPr>
        <w:t xml:space="preserve"> </w:t>
      </w:r>
      <w:r w:rsidR="007518F3">
        <w:rPr>
          <w:b w:val="0"/>
          <w:i/>
        </w:rPr>
        <w:t>forward the decision</w:t>
      </w:r>
      <w:r w:rsidRPr="00CE7225">
        <w:rPr>
          <w:b w:val="0"/>
          <w:i/>
        </w:rPr>
        <w:t xml:space="preserve"> report and </w:t>
      </w:r>
      <w:r w:rsidR="007518F3">
        <w:rPr>
          <w:b w:val="0"/>
          <w:i/>
        </w:rPr>
        <w:t xml:space="preserve">a copy of the appeal to </w:t>
      </w:r>
      <w:r w:rsidRPr="00CE7225">
        <w:rPr>
          <w:b w:val="0"/>
          <w:i/>
        </w:rPr>
        <w:t xml:space="preserve">the review body and make the report </w:t>
      </w:r>
      <w:r w:rsidR="007518F3">
        <w:rPr>
          <w:b w:val="0"/>
          <w:i/>
        </w:rPr>
        <w:t xml:space="preserve">and copy of the appeal </w:t>
      </w:r>
      <w:r w:rsidRPr="00CE7225">
        <w:rPr>
          <w:b w:val="0"/>
          <w:i/>
        </w:rPr>
        <w:t>ava</w:t>
      </w:r>
      <w:r>
        <w:rPr>
          <w:b w:val="0"/>
          <w:i/>
        </w:rPr>
        <w:t>ilable to the public at least 7</w:t>
      </w:r>
      <w:r w:rsidRPr="00CE7225">
        <w:rPr>
          <w:b w:val="0"/>
          <w:i/>
        </w:rPr>
        <w:t xml:space="preserve"> days prior to the</w:t>
      </w:r>
      <w:r w:rsidR="007518F3">
        <w:rPr>
          <w:b w:val="0"/>
          <w:i/>
        </w:rPr>
        <w:t xml:space="preserve"> date of the</w:t>
      </w:r>
      <w:r w:rsidRPr="00CE7225">
        <w:rPr>
          <w:b w:val="0"/>
          <w:i/>
        </w:rPr>
        <w:t xml:space="preserve"> hearing. </w:t>
      </w:r>
      <w:r>
        <w:rPr>
          <w:b w:val="0"/>
          <w:i/>
        </w:rPr>
        <w:t>(33.730.020.I.4; 33.730.025.I.4)</w:t>
      </w:r>
    </w:p>
    <w:p w14:paraId="0146A2C0" w14:textId="77777777" w:rsidR="00CE7225" w:rsidRDefault="00CE7225" w:rsidP="00CE7225">
      <w:pPr>
        <w:pStyle w:val="Heading2"/>
        <w:tabs>
          <w:tab w:val="left" w:pos="820"/>
        </w:tabs>
        <w:ind w:left="819" w:firstLine="0"/>
      </w:pPr>
    </w:p>
    <w:p w14:paraId="0DDE5554" w14:textId="77777777" w:rsidR="00041F97" w:rsidRDefault="00041F97" w:rsidP="00041F97">
      <w:pPr>
        <w:pStyle w:val="Heading2"/>
        <w:numPr>
          <w:ilvl w:val="1"/>
          <w:numId w:val="6"/>
        </w:numPr>
        <w:tabs>
          <w:tab w:val="left" w:pos="820"/>
        </w:tabs>
        <w:ind w:left="819" w:hanging="359"/>
      </w:pPr>
      <w:r>
        <w:t>Voting</w:t>
      </w:r>
    </w:p>
    <w:p w14:paraId="7351F804" w14:textId="26F65490" w:rsidR="00C40DB6" w:rsidRDefault="004B289E" w:rsidP="00C40DB6">
      <w:pPr>
        <w:pStyle w:val="BodyText"/>
        <w:spacing w:before="11"/>
        <w:ind w:left="810"/>
      </w:pPr>
      <w:r>
        <w:t>Land Use Reviews</w:t>
      </w:r>
      <w:r w:rsidR="00C40DB6">
        <w:t xml:space="preserve"> on the Agenda are decided by vote. Votes are generally taken by roll call ("ayes" and "nays"). </w:t>
      </w:r>
      <w:r w:rsidR="00C40DB6" w:rsidRPr="008D4316">
        <w:rPr>
          <w:i/>
        </w:rPr>
        <w:t>A majority of the members present must vote affirmatively in order to take action.</w:t>
      </w:r>
      <w:r w:rsidR="00C40DB6">
        <w:rPr>
          <w:i/>
        </w:rPr>
        <w:t xml:space="preserve"> 33.710.030.D.</w:t>
      </w:r>
      <w:r w:rsidR="00C40DB6">
        <w:t xml:space="preserve"> The Commission’s decision on a Type II or IIx case is final.</w:t>
      </w:r>
      <w:r w:rsidR="00C40DB6" w:rsidRPr="00C4607F">
        <w:t xml:space="preserve"> The Commission’s decision on</w:t>
      </w:r>
      <w:r w:rsidR="00C40DB6">
        <w:t xml:space="preserve"> a Type III</w:t>
      </w:r>
      <w:r w:rsidR="00C40DB6" w:rsidRPr="00C4607F">
        <w:t xml:space="preserve"> case is final, unless appealed to City Council within 14 days of the decision</w:t>
      </w:r>
      <w:r w:rsidR="00C40DB6">
        <w:t xml:space="preserve"> mail date. </w:t>
      </w:r>
      <w:r w:rsidR="00C40DB6" w:rsidRPr="00C4607F">
        <w:t xml:space="preserve">If the </w:t>
      </w:r>
      <w:r>
        <w:t xml:space="preserve">Type III final </w:t>
      </w:r>
      <w:r w:rsidR="00C40DB6" w:rsidRPr="00C4607F">
        <w:t xml:space="preserve">decision is not appealed, it </w:t>
      </w:r>
      <w:r w:rsidR="00C40DB6">
        <w:t>is</w:t>
      </w:r>
      <w:r w:rsidR="00C40DB6" w:rsidRPr="00C4607F">
        <w:t xml:space="preserve"> recorded with the Multnomah County Recorder. </w:t>
      </w:r>
    </w:p>
    <w:p w14:paraId="2AA4B507" w14:textId="77777777" w:rsidR="00C40DB6" w:rsidRDefault="00C40DB6" w:rsidP="00C40DB6">
      <w:pPr>
        <w:pStyle w:val="BodyText"/>
        <w:spacing w:before="11"/>
        <w:ind w:left="810"/>
        <w:rPr>
          <w:i/>
          <w:sz w:val="19"/>
        </w:rPr>
      </w:pPr>
      <w:r w:rsidRPr="00C4607F">
        <w:t xml:space="preserve"> </w:t>
      </w:r>
    </w:p>
    <w:p w14:paraId="0BC1A5E3" w14:textId="77777777" w:rsidR="00C40DB6" w:rsidRDefault="00C40DB6" w:rsidP="00C40DB6">
      <w:pPr>
        <w:pStyle w:val="ListParagraph"/>
        <w:numPr>
          <w:ilvl w:val="0"/>
          <w:numId w:val="17"/>
        </w:numPr>
        <w:tabs>
          <w:tab w:val="left" w:pos="1181"/>
        </w:tabs>
        <w:rPr>
          <w:sz w:val="20"/>
        </w:rPr>
      </w:pPr>
      <w:r w:rsidRPr="00657E57">
        <w:rPr>
          <w:sz w:val="20"/>
        </w:rPr>
        <w:t>Motion</w:t>
      </w:r>
    </w:p>
    <w:p w14:paraId="1F05AEDD" w14:textId="77777777" w:rsidR="00C40DB6" w:rsidRPr="00657E57" w:rsidRDefault="00C40DB6" w:rsidP="00C40DB6">
      <w:pPr>
        <w:pStyle w:val="ListParagraph"/>
        <w:tabs>
          <w:tab w:val="left" w:pos="1181"/>
        </w:tabs>
        <w:ind w:firstLine="0"/>
        <w:rPr>
          <w:sz w:val="20"/>
          <w:szCs w:val="20"/>
        </w:rPr>
      </w:pPr>
      <w:r w:rsidRPr="00657E57">
        <w:rPr>
          <w:sz w:val="20"/>
          <w:szCs w:val="20"/>
        </w:rPr>
        <w:t>A Commission action is adopted by vote only after:</w:t>
      </w:r>
    </w:p>
    <w:p w14:paraId="38120D02" w14:textId="77777777" w:rsidR="00C40DB6" w:rsidRPr="00657E57" w:rsidRDefault="00C40DB6" w:rsidP="00C40DB6">
      <w:pPr>
        <w:pStyle w:val="ListParagraph"/>
        <w:numPr>
          <w:ilvl w:val="0"/>
          <w:numId w:val="18"/>
        </w:numPr>
        <w:tabs>
          <w:tab w:val="left" w:pos="1181"/>
        </w:tabs>
        <w:rPr>
          <w:sz w:val="20"/>
        </w:rPr>
      </w:pPr>
      <w:r w:rsidRPr="00657E57">
        <w:rPr>
          <w:sz w:val="20"/>
        </w:rPr>
        <w:t>A Commission member makes a proper motion for</w:t>
      </w:r>
      <w:r w:rsidRPr="00657E57">
        <w:rPr>
          <w:spacing w:val="-15"/>
          <w:sz w:val="20"/>
        </w:rPr>
        <w:t xml:space="preserve"> </w:t>
      </w:r>
      <w:r w:rsidRPr="00657E57">
        <w:rPr>
          <w:sz w:val="20"/>
        </w:rPr>
        <w:t>action;</w:t>
      </w:r>
    </w:p>
    <w:p w14:paraId="2789CC76" w14:textId="77777777" w:rsidR="00C40DB6" w:rsidRPr="00657E57" w:rsidRDefault="00C40DB6" w:rsidP="00C40DB6">
      <w:pPr>
        <w:pStyle w:val="ListParagraph"/>
        <w:numPr>
          <w:ilvl w:val="0"/>
          <w:numId w:val="18"/>
        </w:numPr>
        <w:tabs>
          <w:tab w:val="left" w:pos="1899"/>
          <w:tab w:val="left" w:pos="1900"/>
        </w:tabs>
        <w:spacing w:line="232" w:lineRule="exact"/>
        <w:rPr>
          <w:sz w:val="20"/>
        </w:rPr>
      </w:pPr>
      <w:r w:rsidRPr="00657E57">
        <w:rPr>
          <w:sz w:val="20"/>
        </w:rPr>
        <w:t>Another Commission member seconds the</w:t>
      </w:r>
      <w:r w:rsidRPr="00657E57">
        <w:rPr>
          <w:spacing w:val="-12"/>
          <w:sz w:val="20"/>
        </w:rPr>
        <w:t xml:space="preserve"> </w:t>
      </w:r>
      <w:r w:rsidRPr="00657E57">
        <w:rPr>
          <w:sz w:val="20"/>
        </w:rPr>
        <w:t>motion;</w:t>
      </w:r>
    </w:p>
    <w:p w14:paraId="6C759053" w14:textId="77777777" w:rsidR="00C40DB6" w:rsidRPr="00657E57" w:rsidRDefault="00C40DB6" w:rsidP="00C40DB6">
      <w:pPr>
        <w:pStyle w:val="ListParagraph"/>
        <w:numPr>
          <w:ilvl w:val="0"/>
          <w:numId w:val="18"/>
        </w:numPr>
        <w:tabs>
          <w:tab w:val="left" w:pos="1899"/>
          <w:tab w:val="left" w:pos="1900"/>
        </w:tabs>
        <w:spacing w:line="232" w:lineRule="exact"/>
        <w:rPr>
          <w:sz w:val="20"/>
        </w:rPr>
      </w:pPr>
      <w:r w:rsidRPr="00657E57">
        <w:rPr>
          <w:sz w:val="20"/>
        </w:rPr>
        <w:t>The Chair restates the motion (including making any</w:t>
      </w:r>
      <w:r w:rsidRPr="00657E57">
        <w:rPr>
          <w:spacing w:val="-20"/>
          <w:sz w:val="20"/>
        </w:rPr>
        <w:t xml:space="preserve"> </w:t>
      </w:r>
      <w:r w:rsidRPr="00657E57">
        <w:rPr>
          <w:sz w:val="20"/>
        </w:rPr>
        <w:t>clarifications);</w:t>
      </w:r>
    </w:p>
    <w:p w14:paraId="752EA899" w14:textId="77777777" w:rsidR="00C40DB6" w:rsidRPr="00657E57" w:rsidRDefault="00C40DB6" w:rsidP="00C40DB6">
      <w:pPr>
        <w:pStyle w:val="ListParagraph"/>
        <w:numPr>
          <w:ilvl w:val="0"/>
          <w:numId w:val="18"/>
        </w:numPr>
        <w:tabs>
          <w:tab w:val="left" w:pos="1899"/>
          <w:tab w:val="left" w:pos="1900"/>
        </w:tabs>
        <w:spacing w:line="232" w:lineRule="exact"/>
        <w:rPr>
          <w:sz w:val="20"/>
        </w:rPr>
      </w:pPr>
      <w:r w:rsidRPr="00657E57">
        <w:rPr>
          <w:sz w:val="20"/>
        </w:rPr>
        <w:t>All Commission members have an opportunity to discuss the</w:t>
      </w:r>
      <w:r w:rsidRPr="00657E57">
        <w:rPr>
          <w:spacing w:val="-16"/>
          <w:sz w:val="20"/>
        </w:rPr>
        <w:t xml:space="preserve"> </w:t>
      </w:r>
      <w:r w:rsidRPr="00657E57">
        <w:rPr>
          <w:sz w:val="20"/>
        </w:rPr>
        <w:t>motion;</w:t>
      </w:r>
    </w:p>
    <w:p w14:paraId="1A06FDE1" w14:textId="77777777" w:rsidR="00C40DB6" w:rsidRPr="00657E57" w:rsidRDefault="00C40DB6" w:rsidP="00C40DB6">
      <w:pPr>
        <w:pStyle w:val="ListParagraph"/>
        <w:numPr>
          <w:ilvl w:val="0"/>
          <w:numId w:val="18"/>
        </w:numPr>
        <w:tabs>
          <w:tab w:val="left" w:pos="1899"/>
          <w:tab w:val="left" w:pos="1900"/>
        </w:tabs>
        <w:spacing w:line="225" w:lineRule="auto"/>
        <w:ind w:right="313"/>
        <w:rPr>
          <w:sz w:val="20"/>
        </w:rPr>
      </w:pPr>
      <w:r w:rsidRPr="00657E57">
        <w:rPr>
          <w:sz w:val="20"/>
        </w:rPr>
        <w:t>The Chair restates the motion again and asks for a vote. This step may</w:t>
      </w:r>
      <w:r w:rsidRPr="00657E57">
        <w:rPr>
          <w:spacing w:val="-21"/>
          <w:sz w:val="20"/>
        </w:rPr>
        <w:t xml:space="preserve"> </w:t>
      </w:r>
      <w:r w:rsidRPr="00657E57">
        <w:rPr>
          <w:sz w:val="20"/>
        </w:rPr>
        <w:t>be eliminated if no discussion has taken</w:t>
      </w:r>
      <w:r w:rsidRPr="00657E57">
        <w:rPr>
          <w:spacing w:val="-36"/>
          <w:sz w:val="20"/>
        </w:rPr>
        <w:t xml:space="preserve"> </w:t>
      </w:r>
      <w:r w:rsidRPr="00657E57">
        <w:rPr>
          <w:sz w:val="20"/>
        </w:rPr>
        <w:t>place;</w:t>
      </w:r>
    </w:p>
    <w:p w14:paraId="194663CD" w14:textId="77777777" w:rsidR="00C40DB6" w:rsidRPr="00657E57" w:rsidRDefault="00C40DB6" w:rsidP="00C40DB6">
      <w:pPr>
        <w:pStyle w:val="ListParagraph"/>
        <w:numPr>
          <w:ilvl w:val="0"/>
          <w:numId w:val="18"/>
        </w:numPr>
        <w:tabs>
          <w:tab w:val="left" w:pos="1899"/>
          <w:tab w:val="left" w:pos="1900"/>
        </w:tabs>
        <w:spacing w:line="240" w:lineRule="exact"/>
        <w:rPr>
          <w:sz w:val="20"/>
        </w:rPr>
      </w:pPr>
      <w:r w:rsidRPr="00657E57">
        <w:rPr>
          <w:sz w:val="20"/>
        </w:rPr>
        <w:t>A majority of the members present vote in favor of the motion;</w:t>
      </w:r>
      <w:r w:rsidRPr="00657E57">
        <w:rPr>
          <w:spacing w:val="-19"/>
          <w:sz w:val="20"/>
        </w:rPr>
        <w:t xml:space="preserve"> </w:t>
      </w:r>
      <w:r w:rsidRPr="00657E57">
        <w:rPr>
          <w:sz w:val="20"/>
        </w:rPr>
        <w:t>and</w:t>
      </w:r>
    </w:p>
    <w:p w14:paraId="3C6F78C1" w14:textId="5316F273" w:rsidR="00C40DB6" w:rsidRPr="00657E57" w:rsidRDefault="00C40DB6" w:rsidP="00C40DB6">
      <w:pPr>
        <w:pStyle w:val="ListParagraph"/>
        <w:numPr>
          <w:ilvl w:val="0"/>
          <w:numId w:val="18"/>
        </w:numPr>
        <w:tabs>
          <w:tab w:val="left" w:pos="1899"/>
          <w:tab w:val="left" w:pos="1900"/>
        </w:tabs>
        <w:spacing w:line="240" w:lineRule="exact"/>
        <w:rPr>
          <w:sz w:val="20"/>
        </w:rPr>
      </w:pPr>
      <w:r w:rsidRPr="00657E57">
        <w:rPr>
          <w:sz w:val="20"/>
        </w:rPr>
        <w:t>The Chair</w:t>
      </w:r>
      <w:r w:rsidR="005113AF">
        <w:rPr>
          <w:spacing w:val="-44"/>
          <w:sz w:val="20"/>
        </w:rPr>
        <w:t xml:space="preserve">  </w:t>
      </w:r>
      <w:r w:rsidR="004B289E">
        <w:rPr>
          <w:spacing w:val="-44"/>
          <w:sz w:val="20"/>
        </w:rPr>
        <w:t xml:space="preserve"> </w:t>
      </w:r>
      <w:r w:rsidRPr="00657E57">
        <w:rPr>
          <w:sz w:val="20"/>
        </w:rPr>
        <w:t>announces the result of the vote (including the vote count).</w:t>
      </w:r>
    </w:p>
    <w:p w14:paraId="1B785051" w14:textId="77777777" w:rsidR="00C40DB6" w:rsidRDefault="00C40DB6" w:rsidP="00C40DB6">
      <w:pPr>
        <w:pStyle w:val="BodyText"/>
        <w:spacing w:before="6"/>
        <w:rPr>
          <w:sz w:val="22"/>
        </w:rPr>
      </w:pPr>
    </w:p>
    <w:p w14:paraId="71AE02D9" w14:textId="77777777" w:rsidR="00C40DB6" w:rsidRDefault="00C40DB6" w:rsidP="00C40DB6">
      <w:pPr>
        <w:pStyle w:val="BodyText"/>
        <w:numPr>
          <w:ilvl w:val="0"/>
          <w:numId w:val="17"/>
        </w:numPr>
        <w:ind w:right="305"/>
      </w:pPr>
      <w:r w:rsidRPr="00657E57">
        <w:t>Tentative decisions</w:t>
      </w:r>
    </w:p>
    <w:p w14:paraId="3BB02D5A" w14:textId="77777777" w:rsidR="00C40DB6" w:rsidRDefault="00C40DB6" w:rsidP="00C40DB6">
      <w:pPr>
        <w:pStyle w:val="BodyText"/>
        <w:ind w:left="1179" w:right="305"/>
      </w:pPr>
      <w:r w:rsidRPr="00657E57">
        <w:t>If revised findings are needed to address new evidence or modification or reversal of the BDS staff decision or recommendation, the Commission will take a tentative vote and direct that staff return with revised findings at a subsequent public meeting.</w:t>
      </w:r>
    </w:p>
    <w:p w14:paraId="70C8AC89" w14:textId="77777777" w:rsidR="00C40DB6" w:rsidRDefault="00C40DB6" w:rsidP="00C40DB6">
      <w:pPr>
        <w:pStyle w:val="ListParagraph"/>
        <w:tabs>
          <w:tab w:val="left" w:pos="1065"/>
        </w:tabs>
        <w:ind w:firstLine="0"/>
        <w:rPr>
          <w:sz w:val="20"/>
        </w:rPr>
      </w:pPr>
    </w:p>
    <w:p w14:paraId="5D8FF19D" w14:textId="77777777" w:rsidR="00C40DB6" w:rsidRPr="00DD5538" w:rsidRDefault="00C40DB6" w:rsidP="00C40DB6">
      <w:pPr>
        <w:pStyle w:val="BodyText"/>
        <w:numPr>
          <w:ilvl w:val="0"/>
          <w:numId w:val="17"/>
        </w:numPr>
        <w:ind w:right="305"/>
      </w:pPr>
      <w:r w:rsidRPr="00DD5538">
        <w:t>Abstentions</w:t>
      </w:r>
    </w:p>
    <w:p w14:paraId="7634F8F6" w14:textId="77777777" w:rsidR="00C40DB6" w:rsidRDefault="00C40DB6" w:rsidP="00C40DB6">
      <w:pPr>
        <w:pStyle w:val="BodyText"/>
        <w:ind w:left="1179" w:right="305"/>
      </w:pPr>
      <w:r>
        <w:t>Each Commission member has a duty to vote on a motion. An abstention from voting is counted as a “no” vote.</w:t>
      </w:r>
    </w:p>
    <w:p w14:paraId="693FE8E8" w14:textId="77777777" w:rsidR="00C40DB6" w:rsidRDefault="00C40DB6" w:rsidP="00C40DB6">
      <w:pPr>
        <w:pStyle w:val="BodyText"/>
        <w:ind w:left="819" w:right="305"/>
      </w:pPr>
    </w:p>
    <w:p w14:paraId="76D0FEB9" w14:textId="03CC27B3" w:rsidR="00C40DB6" w:rsidRPr="009C2459" w:rsidRDefault="00C40DB6" w:rsidP="009C2459">
      <w:pPr>
        <w:pStyle w:val="BodyText"/>
        <w:numPr>
          <w:ilvl w:val="0"/>
          <w:numId w:val="17"/>
        </w:numPr>
        <w:ind w:right="305"/>
      </w:pPr>
      <w:r>
        <w:t>A Commissioner who has a conflict of interest on a specific item does not participate as a member of the Commission for that specific item. Therefore, the Commissioner’s presence does not count for purposes of creating a quorum or as a member who is present for voting purposes.</w:t>
      </w:r>
    </w:p>
    <w:p w14:paraId="4AC8F8F7" w14:textId="77777777" w:rsidR="00C40DB6" w:rsidRPr="00657E57" w:rsidRDefault="00C40DB6" w:rsidP="00C40DB6">
      <w:pPr>
        <w:pStyle w:val="ListParagraph"/>
        <w:numPr>
          <w:ilvl w:val="0"/>
          <w:numId w:val="17"/>
        </w:numPr>
        <w:tabs>
          <w:tab w:val="left" w:pos="1180"/>
        </w:tabs>
        <w:spacing w:before="240"/>
        <w:ind w:left="1181"/>
        <w:rPr>
          <w:sz w:val="20"/>
        </w:rPr>
      </w:pPr>
      <w:r w:rsidRPr="00657E57">
        <w:rPr>
          <w:sz w:val="20"/>
        </w:rPr>
        <w:t>Record of</w:t>
      </w:r>
      <w:r w:rsidRPr="00657E57">
        <w:rPr>
          <w:spacing w:val="-5"/>
          <w:sz w:val="20"/>
        </w:rPr>
        <w:t xml:space="preserve"> </w:t>
      </w:r>
      <w:r w:rsidRPr="00657E57">
        <w:rPr>
          <w:sz w:val="20"/>
        </w:rPr>
        <w:t>vote</w:t>
      </w:r>
    </w:p>
    <w:p w14:paraId="1B03FC04" w14:textId="77777777" w:rsidR="00C40DB6" w:rsidRDefault="00C40DB6" w:rsidP="00C40DB6">
      <w:pPr>
        <w:pStyle w:val="BodyText"/>
        <w:ind w:left="1080"/>
      </w:pPr>
      <w:r>
        <w:t xml:space="preserve"> The minutes include the results of all votes.</w:t>
      </w:r>
    </w:p>
    <w:p w14:paraId="02E7E898" w14:textId="77777777" w:rsidR="00C40DB6" w:rsidRDefault="00C40DB6" w:rsidP="00C40DB6">
      <w:pPr>
        <w:pStyle w:val="BodyText"/>
        <w:spacing w:before="11"/>
        <w:rPr>
          <w:sz w:val="19"/>
        </w:rPr>
      </w:pPr>
    </w:p>
    <w:p w14:paraId="15D2B91B" w14:textId="77777777" w:rsidR="00C40DB6" w:rsidRPr="00657E57" w:rsidRDefault="00C40DB6" w:rsidP="00C40DB6">
      <w:pPr>
        <w:pStyle w:val="ListParagraph"/>
        <w:numPr>
          <w:ilvl w:val="0"/>
          <w:numId w:val="17"/>
        </w:numPr>
        <w:tabs>
          <w:tab w:val="left" w:pos="1180"/>
        </w:tabs>
        <w:spacing w:line="232" w:lineRule="exact"/>
        <w:rPr>
          <w:sz w:val="20"/>
        </w:rPr>
      </w:pPr>
      <w:r w:rsidRPr="00657E57">
        <w:rPr>
          <w:sz w:val="20"/>
        </w:rPr>
        <w:t>Order of</w:t>
      </w:r>
      <w:r w:rsidRPr="00657E57">
        <w:rPr>
          <w:spacing w:val="-3"/>
          <w:sz w:val="20"/>
        </w:rPr>
        <w:t xml:space="preserve"> </w:t>
      </w:r>
      <w:r w:rsidRPr="00657E57">
        <w:rPr>
          <w:sz w:val="20"/>
        </w:rPr>
        <w:t>voting</w:t>
      </w:r>
    </w:p>
    <w:p w14:paraId="501408E4" w14:textId="77777777" w:rsidR="00C40DB6" w:rsidRDefault="00C40DB6" w:rsidP="00C40DB6">
      <w:pPr>
        <w:pStyle w:val="BodyText"/>
        <w:ind w:left="1179" w:right="437" w:firstLine="1"/>
      </w:pPr>
      <w:r>
        <w:t>In all roll call votes, the Chair votes last. The roll call for Commissioners’ votes, aside from the Chair’s, are in alphabetical order by last name.</w:t>
      </w:r>
    </w:p>
    <w:p w14:paraId="1966776C" w14:textId="77777777" w:rsidR="00C40DB6" w:rsidRDefault="00C40DB6" w:rsidP="00C40DB6">
      <w:pPr>
        <w:pStyle w:val="Heading2"/>
        <w:numPr>
          <w:ilvl w:val="1"/>
          <w:numId w:val="6"/>
        </w:numPr>
        <w:tabs>
          <w:tab w:val="left" w:pos="820"/>
        </w:tabs>
        <w:spacing w:line="232" w:lineRule="exact"/>
        <w:ind w:left="819" w:hanging="359"/>
      </w:pPr>
      <w:r>
        <w:lastRenderedPageBreak/>
        <w:t>Decision</w:t>
      </w:r>
    </w:p>
    <w:p w14:paraId="20D3A605" w14:textId="03C74E46" w:rsidR="00C40DB6" w:rsidRPr="003D1F1A" w:rsidRDefault="00C40DB6" w:rsidP="008235FD">
      <w:pPr>
        <w:pStyle w:val="Heading2"/>
        <w:tabs>
          <w:tab w:val="left" w:pos="820"/>
        </w:tabs>
        <w:spacing w:line="232" w:lineRule="exact"/>
        <w:ind w:left="810" w:firstLine="0"/>
        <w:rPr>
          <w:b w:val="0"/>
        </w:rPr>
      </w:pPr>
      <w:r>
        <w:tab/>
      </w:r>
      <w:r w:rsidR="004B289E" w:rsidRPr="008235FD">
        <w:rPr>
          <w:b w:val="0"/>
          <w:bCs w:val="0"/>
        </w:rPr>
        <w:t xml:space="preserve">Within 17 days of the close of the record, the Director of BDS will mail notice of the review body’s final decision </w:t>
      </w:r>
      <w:r w:rsidR="008235FD" w:rsidRPr="008235FD">
        <w:rPr>
          <w:b w:val="0"/>
          <w:bCs w:val="0"/>
        </w:rPr>
        <w:t xml:space="preserve">(of Type II appeals and Type IIIIs) </w:t>
      </w:r>
      <w:r w:rsidR="004B289E" w:rsidRPr="008235FD">
        <w:rPr>
          <w:b w:val="0"/>
          <w:bCs w:val="0"/>
        </w:rPr>
        <w:t xml:space="preserve">to the applicant, owner, and to any recognized organizations or persons who responded in </w:t>
      </w:r>
      <w:r w:rsidR="002F3E39" w:rsidRPr="008235FD">
        <w:rPr>
          <w:b w:val="0"/>
          <w:bCs w:val="0"/>
        </w:rPr>
        <w:t>writing to the notice, testified at the hearing, or requested notice of the decision. (33.730.020.J.</w:t>
      </w:r>
      <w:r w:rsidR="008235FD" w:rsidRPr="008235FD">
        <w:rPr>
          <w:b w:val="0"/>
          <w:bCs w:val="0"/>
        </w:rPr>
        <w:t>7; 33.730.020.J.</w:t>
      </w:r>
      <w:r w:rsidR="002F3E39" w:rsidRPr="008235FD">
        <w:rPr>
          <w:b w:val="0"/>
          <w:bCs w:val="0"/>
        </w:rPr>
        <w:t xml:space="preserve">8; </w:t>
      </w:r>
      <w:r w:rsidR="008235FD" w:rsidRPr="008235FD">
        <w:rPr>
          <w:b w:val="0"/>
          <w:bCs w:val="0"/>
        </w:rPr>
        <w:t xml:space="preserve">33.730.030.F.4; </w:t>
      </w:r>
      <w:r w:rsidR="002F3E39" w:rsidRPr="008235FD">
        <w:rPr>
          <w:b w:val="0"/>
          <w:bCs w:val="0"/>
        </w:rPr>
        <w:t>33.730.030.F.5).</w:t>
      </w:r>
      <w:r w:rsidR="002F3E39">
        <w:t xml:space="preserve"> </w:t>
      </w:r>
      <w:r w:rsidR="008235FD">
        <w:rPr>
          <w:b w:val="0"/>
        </w:rPr>
        <w:t>For Type IIx decisions, t</w:t>
      </w:r>
      <w:r>
        <w:rPr>
          <w:b w:val="0"/>
        </w:rPr>
        <w:t>he final notice of decision will be mailed within 1</w:t>
      </w:r>
      <w:r w:rsidR="008235FD">
        <w:rPr>
          <w:b w:val="0"/>
        </w:rPr>
        <w:t>4</w:t>
      </w:r>
      <w:r>
        <w:rPr>
          <w:b w:val="0"/>
        </w:rPr>
        <w:t xml:space="preserve"> days </w:t>
      </w:r>
      <w:r w:rsidR="008235FD">
        <w:rPr>
          <w:b w:val="0"/>
        </w:rPr>
        <w:t>(33.730.025.J.7; 33.730.025.J.8)</w:t>
      </w:r>
      <w:r>
        <w:rPr>
          <w:b w:val="0"/>
        </w:rPr>
        <w:t xml:space="preserve">. </w:t>
      </w:r>
    </w:p>
    <w:p w14:paraId="7294DE23" w14:textId="77777777" w:rsidR="00C40DB6" w:rsidRDefault="00C40DB6" w:rsidP="00C40DB6">
      <w:pPr>
        <w:pStyle w:val="Heading2"/>
        <w:tabs>
          <w:tab w:val="left" w:pos="820"/>
        </w:tabs>
        <w:spacing w:line="232" w:lineRule="exact"/>
        <w:ind w:left="819" w:firstLine="0"/>
      </w:pPr>
    </w:p>
    <w:p w14:paraId="541ADA20" w14:textId="77777777" w:rsidR="00C40DB6" w:rsidRDefault="00C40DB6" w:rsidP="00C40DB6">
      <w:pPr>
        <w:pStyle w:val="Heading2"/>
        <w:numPr>
          <w:ilvl w:val="1"/>
          <w:numId w:val="6"/>
        </w:numPr>
        <w:tabs>
          <w:tab w:val="left" w:pos="820"/>
        </w:tabs>
        <w:spacing w:line="232" w:lineRule="exact"/>
        <w:ind w:left="819" w:hanging="359"/>
      </w:pPr>
      <w:r>
        <w:t>Commission Action</w:t>
      </w:r>
      <w:r>
        <w:rPr>
          <w:spacing w:val="-15"/>
        </w:rPr>
        <w:t xml:space="preserve"> </w:t>
      </w:r>
      <w:r>
        <w:t>Required</w:t>
      </w:r>
    </w:p>
    <w:p w14:paraId="252EEFBE" w14:textId="77777777" w:rsidR="00C40DB6" w:rsidRDefault="00C40DB6" w:rsidP="00C40DB6">
      <w:pPr>
        <w:pStyle w:val="BodyText"/>
        <w:ind w:left="820" w:right="305"/>
      </w:pPr>
      <w:r>
        <w:t xml:space="preserve">The Commission must dispose of the item it is considering before it may consider another agenda item. The Commission disposes of an agenda item by taking some action on the item, which may be final or advisory. </w:t>
      </w:r>
    </w:p>
    <w:p w14:paraId="14B01801" w14:textId="77777777" w:rsidR="00C40DB6" w:rsidRDefault="00C40DB6" w:rsidP="00C40DB6">
      <w:pPr>
        <w:pStyle w:val="BodyText"/>
        <w:ind w:left="820" w:right="305"/>
      </w:pPr>
    </w:p>
    <w:p w14:paraId="429598E2" w14:textId="77777777" w:rsidR="00C40DB6" w:rsidRDefault="00C40DB6" w:rsidP="00C40DB6">
      <w:pPr>
        <w:pStyle w:val="BodyText"/>
        <w:numPr>
          <w:ilvl w:val="1"/>
          <w:numId w:val="6"/>
        </w:numPr>
        <w:ind w:left="810" w:right="305" w:hanging="360"/>
        <w:rPr>
          <w:b/>
        </w:rPr>
      </w:pPr>
      <w:r w:rsidRPr="00274EB4">
        <w:rPr>
          <w:b/>
        </w:rPr>
        <w:t>Continued Hearing</w:t>
      </w:r>
    </w:p>
    <w:p w14:paraId="09647D0F" w14:textId="77777777" w:rsidR="00225903" w:rsidRDefault="00225903" w:rsidP="00225903">
      <w:pPr>
        <w:pStyle w:val="BodyText"/>
        <w:numPr>
          <w:ilvl w:val="2"/>
          <w:numId w:val="6"/>
        </w:numPr>
        <w:ind w:right="305"/>
        <w:rPr>
          <w:rFonts w:eastAsia="MS PGothic" w:cs="MS PGothic"/>
        </w:rPr>
      </w:pPr>
      <w:r>
        <w:t>If any participant requests a continuance or to hold the record open prior to the conclusion of the first Commission meeting during which evidence is taken, the Commission will leave the record open, unless the Commission votes to continue the hearing instead. When the record is held open, the Chair will state the following procedure as required by ORS 197.763(6):</w:t>
      </w:r>
    </w:p>
    <w:p w14:paraId="6F1E52C8" w14:textId="77777777" w:rsidR="00225903" w:rsidRDefault="00225903" w:rsidP="00225903">
      <w:pPr>
        <w:pStyle w:val="ListParagraph"/>
        <w:numPr>
          <w:ilvl w:val="0"/>
          <w:numId w:val="26"/>
        </w:numPr>
        <w:ind w:left="1620"/>
        <w:rPr>
          <w:rFonts w:eastAsia="MS PGothic" w:cs="MS PGothic"/>
        </w:rPr>
      </w:pPr>
      <w:r>
        <w:rPr>
          <w:sz w:val="20"/>
          <w:szCs w:val="20"/>
        </w:rPr>
        <w:t xml:space="preserve">Within the first 7 days – new evidence or argument may be submitted by an applicant or any interested party; </w:t>
      </w:r>
    </w:p>
    <w:p w14:paraId="795AB48B" w14:textId="77777777" w:rsidR="00225903" w:rsidRDefault="00225903" w:rsidP="00225903">
      <w:pPr>
        <w:pStyle w:val="BodyText"/>
        <w:widowControl/>
        <w:numPr>
          <w:ilvl w:val="0"/>
          <w:numId w:val="25"/>
        </w:numPr>
        <w:autoSpaceDE/>
        <w:ind w:left="1630" w:right="305"/>
      </w:pPr>
      <w:r>
        <w:t>Within the second 7 days– responses to new evidence may be submitted by an applicant or any interested party;</w:t>
      </w:r>
    </w:p>
    <w:p w14:paraId="27CD3C4C" w14:textId="77777777" w:rsidR="00225903" w:rsidRDefault="00225903" w:rsidP="00225903">
      <w:pPr>
        <w:pStyle w:val="BodyText"/>
        <w:widowControl/>
        <w:numPr>
          <w:ilvl w:val="0"/>
          <w:numId w:val="25"/>
        </w:numPr>
        <w:autoSpaceDE/>
        <w:ind w:left="1630" w:right="305"/>
      </w:pPr>
      <w:r>
        <w:t xml:space="preserve">Within the last 7 days– applicant may submit a final rebuttal in support of the application.  The last 7 days may be waived by the applicant, which must be stated at the initial evidentiary hearing.  </w:t>
      </w:r>
    </w:p>
    <w:p w14:paraId="078EF692" w14:textId="77777777" w:rsidR="00225903" w:rsidRDefault="00225903" w:rsidP="00225903">
      <w:pPr>
        <w:pStyle w:val="BodyText"/>
        <w:ind w:left="1179" w:right="305"/>
      </w:pPr>
    </w:p>
    <w:p w14:paraId="1295F30B" w14:textId="77777777" w:rsidR="00225903" w:rsidRDefault="00225903" w:rsidP="00225903">
      <w:pPr>
        <w:pStyle w:val="BodyText"/>
        <w:ind w:left="1170" w:right="305"/>
        <w:rPr>
          <w:rFonts w:eastAsia="MS PGothic" w:cs="MS PGothic"/>
        </w:rPr>
      </w:pPr>
      <w:r>
        <w:t>The Chair will announce the date and time certain of the 7-7-7 and the future hearing date and time certain.  During the hearing following the 7-7-7 the record will be closed and no new evidence may be submitted or discussed.</w:t>
      </w:r>
    </w:p>
    <w:p w14:paraId="1D99A2B9" w14:textId="77777777" w:rsidR="00225903" w:rsidRDefault="00225903" w:rsidP="00225903">
      <w:pPr>
        <w:pStyle w:val="BodyText"/>
        <w:ind w:left="1179" w:right="305"/>
      </w:pPr>
    </w:p>
    <w:p w14:paraId="2A044FC0" w14:textId="77777777" w:rsidR="00225903" w:rsidRPr="00D405E3" w:rsidRDefault="00225903" w:rsidP="00225903">
      <w:pPr>
        <w:pStyle w:val="BodyText"/>
        <w:numPr>
          <w:ilvl w:val="2"/>
          <w:numId w:val="6"/>
        </w:numPr>
        <w:ind w:right="305"/>
      </w:pPr>
      <w:r w:rsidRPr="00D405E3">
        <w:t>When an applicant requests to continue a hearing to revise their application materials, the Commission may grant a continuance by vote.  If a continuance is allowed, the Chair will state the future hearing date and that the record will remain open.</w:t>
      </w:r>
    </w:p>
    <w:p w14:paraId="0A42F979" w14:textId="77777777" w:rsidR="0048152B" w:rsidRDefault="0048152B" w:rsidP="00041F97">
      <w:pPr>
        <w:pStyle w:val="BodyText"/>
        <w:spacing w:before="10"/>
        <w:rPr>
          <w:sz w:val="17"/>
        </w:rPr>
      </w:pPr>
    </w:p>
    <w:p w14:paraId="58DA0050" w14:textId="368363C8" w:rsidR="00041F97" w:rsidRDefault="00041F97" w:rsidP="00C40DB6">
      <w:pPr>
        <w:pStyle w:val="Heading1"/>
        <w:numPr>
          <w:ilvl w:val="0"/>
          <w:numId w:val="6"/>
        </w:numPr>
        <w:tabs>
          <w:tab w:val="left" w:pos="460"/>
        </w:tabs>
      </w:pPr>
      <w:r>
        <w:t>Communications and</w:t>
      </w:r>
      <w:r>
        <w:rPr>
          <w:spacing w:val="-4"/>
        </w:rPr>
        <w:t xml:space="preserve"> </w:t>
      </w:r>
      <w:r>
        <w:t>Coordination</w:t>
      </w:r>
    </w:p>
    <w:p w14:paraId="3E4ADD0C" w14:textId="77777777" w:rsidR="00041F97" w:rsidRDefault="00041F97" w:rsidP="00041F97">
      <w:pPr>
        <w:pStyle w:val="BodyText"/>
        <w:rPr>
          <w:i/>
        </w:rPr>
      </w:pPr>
    </w:p>
    <w:p w14:paraId="590EE2FC" w14:textId="77777777" w:rsidR="00041F97" w:rsidRDefault="00041F97" w:rsidP="003C2B24">
      <w:pPr>
        <w:pStyle w:val="Heading2"/>
        <w:numPr>
          <w:ilvl w:val="1"/>
          <w:numId w:val="19"/>
        </w:numPr>
        <w:tabs>
          <w:tab w:val="left" w:pos="820"/>
        </w:tabs>
        <w:spacing w:before="1"/>
        <w:ind w:left="819" w:hanging="359"/>
      </w:pPr>
      <w:r>
        <w:t>Public</w:t>
      </w:r>
      <w:r>
        <w:rPr>
          <w:spacing w:val="-12"/>
        </w:rPr>
        <w:t xml:space="preserve"> </w:t>
      </w:r>
      <w:r>
        <w:t>Speaking</w:t>
      </w:r>
    </w:p>
    <w:p w14:paraId="2B26BE48" w14:textId="77777777" w:rsidR="00041F97" w:rsidRDefault="00041F97" w:rsidP="00041F97">
      <w:pPr>
        <w:pStyle w:val="BodyText"/>
        <w:ind w:left="819" w:right="238"/>
      </w:pPr>
      <w:r>
        <w:t>When a Commission member speaks in other venues, such as with the media or before City Council, the member must:</w:t>
      </w:r>
    </w:p>
    <w:p w14:paraId="085E96BE" w14:textId="77777777" w:rsidR="00041F97" w:rsidRDefault="00041F97" w:rsidP="00041F97">
      <w:pPr>
        <w:pStyle w:val="ListParagraph"/>
        <w:numPr>
          <w:ilvl w:val="0"/>
          <w:numId w:val="1"/>
        </w:numPr>
        <w:tabs>
          <w:tab w:val="left" w:pos="1539"/>
          <w:tab w:val="left" w:pos="1540"/>
        </w:tabs>
        <w:spacing w:before="20" w:line="220" w:lineRule="auto"/>
        <w:ind w:right="369"/>
        <w:rPr>
          <w:sz w:val="20"/>
        </w:rPr>
      </w:pPr>
      <w:r>
        <w:rPr>
          <w:sz w:val="20"/>
        </w:rPr>
        <w:t>Be</w:t>
      </w:r>
      <w:r>
        <w:rPr>
          <w:spacing w:val="-4"/>
          <w:sz w:val="20"/>
        </w:rPr>
        <w:t xml:space="preserve"> </w:t>
      </w:r>
      <w:r>
        <w:rPr>
          <w:sz w:val="20"/>
        </w:rPr>
        <w:t>clear</w:t>
      </w:r>
      <w:r>
        <w:rPr>
          <w:spacing w:val="-4"/>
          <w:sz w:val="20"/>
        </w:rPr>
        <w:t xml:space="preserve"> </w:t>
      </w:r>
      <w:r>
        <w:rPr>
          <w:sz w:val="20"/>
        </w:rPr>
        <w:t>whether</w:t>
      </w:r>
      <w:r>
        <w:rPr>
          <w:spacing w:val="-4"/>
          <w:sz w:val="20"/>
        </w:rPr>
        <w:t xml:space="preserve"> </w:t>
      </w:r>
      <w:r>
        <w:rPr>
          <w:sz w:val="20"/>
        </w:rPr>
        <w:t>the</w:t>
      </w:r>
      <w:r>
        <w:rPr>
          <w:spacing w:val="-4"/>
          <w:sz w:val="20"/>
        </w:rPr>
        <w:t xml:space="preserve"> </w:t>
      </w:r>
      <w:r>
        <w:rPr>
          <w:sz w:val="20"/>
        </w:rPr>
        <w:t>member</w:t>
      </w:r>
      <w:r>
        <w:rPr>
          <w:spacing w:val="-4"/>
          <w:sz w:val="20"/>
        </w:rPr>
        <w:t xml:space="preserve"> </w:t>
      </w:r>
      <w:r>
        <w:rPr>
          <w:sz w:val="20"/>
        </w:rPr>
        <w:t>is</w:t>
      </w:r>
      <w:r>
        <w:rPr>
          <w:spacing w:val="-4"/>
          <w:sz w:val="20"/>
        </w:rPr>
        <w:t xml:space="preserve"> </w:t>
      </w:r>
      <w:r>
        <w:rPr>
          <w:sz w:val="20"/>
        </w:rPr>
        <w:t>speaking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member’s</w:t>
      </w:r>
      <w:r>
        <w:rPr>
          <w:spacing w:val="-5"/>
          <w:sz w:val="20"/>
        </w:rPr>
        <w:t xml:space="preserve"> </w:t>
      </w:r>
      <w:r>
        <w:rPr>
          <w:sz w:val="20"/>
        </w:rPr>
        <w:t>own</w:t>
      </w:r>
      <w:r>
        <w:rPr>
          <w:spacing w:val="-4"/>
          <w:sz w:val="20"/>
        </w:rPr>
        <w:t xml:space="preserve"> </w:t>
      </w:r>
      <w:r>
        <w:rPr>
          <w:sz w:val="20"/>
        </w:rPr>
        <w:t>behalf</w:t>
      </w:r>
      <w:r>
        <w:rPr>
          <w:spacing w:val="-4"/>
          <w:sz w:val="20"/>
        </w:rPr>
        <w:t xml:space="preserve"> </w:t>
      </w:r>
      <w:r>
        <w:rPr>
          <w:sz w:val="20"/>
        </w:rPr>
        <w:t>or</w:t>
      </w:r>
      <w:r>
        <w:rPr>
          <w:spacing w:val="-4"/>
          <w:sz w:val="20"/>
        </w:rPr>
        <w:t xml:space="preserve"> </w:t>
      </w:r>
      <w:r>
        <w:rPr>
          <w:sz w:val="20"/>
        </w:rPr>
        <w:t>for the</w:t>
      </w:r>
      <w:r>
        <w:rPr>
          <w:spacing w:val="-7"/>
          <w:sz w:val="20"/>
        </w:rPr>
        <w:t xml:space="preserve"> </w:t>
      </w:r>
      <w:r>
        <w:rPr>
          <w:sz w:val="20"/>
        </w:rPr>
        <w:t>Commission;</w:t>
      </w:r>
    </w:p>
    <w:p w14:paraId="2FC9AE8C" w14:textId="77777777" w:rsidR="00041F97" w:rsidRDefault="00041F97" w:rsidP="00041F97">
      <w:pPr>
        <w:pStyle w:val="ListParagraph"/>
        <w:numPr>
          <w:ilvl w:val="0"/>
          <w:numId w:val="1"/>
        </w:numPr>
        <w:tabs>
          <w:tab w:val="left" w:pos="1539"/>
          <w:tab w:val="left" w:pos="1540"/>
        </w:tabs>
        <w:spacing w:before="9" w:line="230" w:lineRule="auto"/>
        <w:ind w:right="380"/>
        <w:rPr>
          <w:sz w:val="20"/>
        </w:rPr>
      </w:pPr>
      <w:r>
        <w:rPr>
          <w:sz w:val="20"/>
        </w:rPr>
        <w:t>Speak for the Commission only when its position is clear, the member is in agreement</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Commission’s</w:t>
      </w:r>
      <w:r>
        <w:rPr>
          <w:spacing w:val="-6"/>
          <w:sz w:val="20"/>
        </w:rPr>
        <w:t xml:space="preserve"> </w:t>
      </w:r>
      <w:r>
        <w:rPr>
          <w:sz w:val="20"/>
        </w:rPr>
        <w:t>position,</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member</w:t>
      </w:r>
      <w:r>
        <w:rPr>
          <w:spacing w:val="-6"/>
          <w:sz w:val="20"/>
        </w:rPr>
        <w:t xml:space="preserve"> </w:t>
      </w:r>
      <w:r>
        <w:rPr>
          <w:sz w:val="20"/>
        </w:rPr>
        <w:t>is</w:t>
      </w:r>
      <w:r>
        <w:rPr>
          <w:spacing w:val="-5"/>
          <w:sz w:val="20"/>
        </w:rPr>
        <w:t xml:space="preserve"> </w:t>
      </w:r>
      <w:r>
        <w:rPr>
          <w:sz w:val="20"/>
        </w:rPr>
        <w:t>authorized</w:t>
      </w:r>
      <w:r>
        <w:rPr>
          <w:spacing w:val="-6"/>
          <w:sz w:val="20"/>
        </w:rPr>
        <w:t xml:space="preserve"> </w:t>
      </w:r>
      <w:r>
        <w:rPr>
          <w:sz w:val="20"/>
        </w:rPr>
        <w:t>by the Commission to speak on its behalf;</w:t>
      </w:r>
      <w:r>
        <w:rPr>
          <w:spacing w:val="-20"/>
          <w:sz w:val="20"/>
        </w:rPr>
        <w:t xml:space="preserve"> </w:t>
      </w:r>
      <w:r>
        <w:rPr>
          <w:sz w:val="20"/>
        </w:rPr>
        <w:t>and,</w:t>
      </w:r>
    </w:p>
    <w:p w14:paraId="6739FB30" w14:textId="64EE5794" w:rsidR="00041F97" w:rsidRDefault="00041F97" w:rsidP="00041F97">
      <w:pPr>
        <w:pStyle w:val="ListParagraph"/>
        <w:numPr>
          <w:ilvl w:val="0"/>
          <w:numId w:val="1"/>
        </w:numPr>
        <w:tabs>
          <w:tab w:val="left" w:pos="1539"/>
          <w:tab w:val="left" w:pos="1540"/>
        </w:tabs>
        <w:spacing w:before="10" w:line="230" w:lineRule="auto"/>
        <w:ind w:right="444"/>
        <w:rPr>
          <w:sz w:val="20"/>
        </w:rPr>
      </w:pPr>
      <w:r>
        <w:rPr>
          <w:sz w:val="20"/>
        </w:rPr>
        <w:t>When speaking for the Commission, support the Commission’s position.</w:t>
      </w:r>
      <w:r>
        <w:rPr>
          <w:spacing w:val="43"/>
          <w:sz w:val="20"/>
        </w:rPr>
        <w:t xml:space="preserve"> </w:t>
      </w:r>
      <w:r>
        <w:rPr>
          <w:sz w:val="20"/>
        </w:rPr>
        <w:t>The member may describe the Commission’s debate, but may not challenge the legitimacy of the</w:t>
      </w:r>
      <w:r>
        <w:rPr>
          <w:spacing w:val="-4"/>
          <w:sz w:val="20"/>
        </w:rPr>
        <w:t xml:space="preserve"> </w:t>
      </w:r>
      <w:r>
        <w:rPr>
          <w:sz w:val="20"/>
        </w:rPr>
        <w:t>decision.</w:t>
      </w:r>
    </w:p>
    <w:p w14:paraId="26A2AA66" w14:textId="6181F162" w:rsidR="007518F3" w:rsidRDefault="007518F3" w:rsidP="00C40DB6">
      <w:pPr>
        <w:pStyle w:val="ListParagraph"/>
        <w:numPr>
          <w:ilvl w:val="0"/>
          <w:numId w:val="1"/>
        </w:numPr>
        <w:tabs>
          <w:tab w:val="left" w:pos="1539"/>
          <w:tab w:val="left" w:pos="1540"/>
        </w:tabs>
        <w:spacing w:before="10" w:line="230" w:lineRule="auto"/>
        <w:ind w:right="444"/>
        <w:rPr>
          <w:sz w:val="20"/>
        </w:rPr>
      </w:pPr>
      <w:r>
        <w:rPr>
          <w:sz w:val="20"/>
        </w:rPr>
        <w:t>When speaking for the Commission, a member may not promote or oppose measures or candidates as proscribed by ORS 260.432.</w:t>
      </w:r>
    </w:p>
    <w:p w14:paraId="5A5EA80B" w14:textId="77777777" w:rsidR="003C0BC0" w:rsidRDefault="003C0BC0" w:rsidP="003C0BC0">
      <w:pPr>
        <w:pStyle w:val="ListParagraph"/>
        <w:numPr>
          <w:ilvl w:val="0"/>
          <w:numId w:val="1"/>
        </w:numPr>
        <w:tabs>
          <w:tab w:val="left" w:pos="1539"/>
          <w:tab w:val="left" w:pos="1540"/>
        </w:tabs>
        <w:spacing w:before="10" w:line="230" w:lineRule="auto"/>
        <w:ind w:right="444"/>
        <w:rPr>
          <w:sz w:val="20"/>
        </w:rPr>
      </w:pPr>
      <w:r>
        <w:rPr>
          <w:sz w:val="20"/>
        </w:rPr>
        <w:t>When contacted by the media, the Commission member shall contact the City Staff Liaison or Supervising Planner before providing a response.</w:t>
      </w:r>
    </w:p>
    <w:p w14:paraId="36664178" w14:textId="77777777" w:rsidR="00041F97" w:rsidRDefault="00041F97" w:rsidP="00041F97">
      <w:pPr>
        <w:pStyle w:val="BodyText"/>
        <w:spacing w:before="11"/>
        <w:rPr>
          <w:sz w:val="19"/>
        </w:rPr>
      </w:pPr>
    </w:p>
    <w:p w14:paraId="0BEA7B0E" w14:textId="77777777" w:rsidR="00041F97" w:rsidRDefault="00041F97" w:rsidP="003C2B24">
      <w:pPr>
        <w:pStyle w:val="Heading2"/>
        <w:numPr>
          <w:ilvl w:val="1"/>
          <w:numId w:val="19"/>
        </w:numPr>
        <w:tabs>
          <w:tab w:val="left" w:pos="820"/>
        </w:tabs>
        <w:spacing w:line="232" w:lineRule="exact"/>
        <w:ind w:left="819" w:hanging="359"/>
      </w:pPr>
      <w:r>
        <w:t>Annual</w:t>
      </w:r>
      <w:r>
        <w:rPr>
          <w:spacing w:val="-11"/>
        </w:rPr>
        <w:t xml:space="preserve"> </w:t>
      </w:r>
      <w:r>
        <w:t>Report</w:t>
      </w:r>
    </w:p>
    <w:p w14:paraId="3D7F6F20" w14:textId="7E53FF81" w:rsidR="00041F97" w:rsidRDefault="00041F97" w:rsidP="00041F97">
      <w:pPr>
        <w:ind w:left="820" w:right="98"/>
        <w:rPr>
          <w:i/>
          <w:sz w:val="20"/>
        </w:rPr>
      </w:pPr>
      <w:r w:rsidRPr="0077414B">
        <w:rPr>
          <w:i/>
          <w:sz w:val="20"/>
        </w:rPr>
        <w:t xml:space="preserve">The Commission must make an annual report of its actions and accomplishments for each </w:t>
      </w:r>
      <w:r w:rsidR="003C0BC0">
        <w:rPr>
          <w:i/>
          <w:sz w:val="20"/>
        </w:rPr>
        <w:lastRenderedPageBreak/>
        <w:t>calendar</w:t>
      </w:r>
      <w:r w:rsidRPr="0077414B">
        <w:rPr>
          <w:i/>
          <w:sz w:val="20"/>
        </w:rPr>
        <w:t xml:space="preserve"> year. The report must be filed with the Director of BDS by the first working day of </w:t>
      </w:r>
      <w:r w:rsidR="003C0BC0">
        <w:rPr>
          <w:i/>
          <w:sz w:val="20"/>
        </w:rPr>
        <w:t>April</w:t>
      </w:r>
      <w:r w:rsidRPr="0077414B">
        <w:rPr>
          <w:i/>
          <w:sz w:val="20"/>
        </w:rPr>
        <w:t xml:space="preserve">. The Director of BDS may combine the report with annual reports of other bodies for transmission to City Council. </w:t>
      </w:r>
      <w:r>
        <w:rPr>
          <w:i/>
          <w:sz w:val="20"/>
        </w:rPr>
        <w:t>(33.710.050.E.)</w:t>
      </w:r>
    </w:p>
    <w:p w14:paraId="5CD6EA73" w14:textId="77777777" w:rsidR="00041F97" w:rsidRDefault="00041F97" w:rsidP="00041F97">
      <w:pPr>
        <w:pStyle w:val="BodyText"/>
        <w:rPr>
          <w:i/>
        </w:rPr>
      </w:pPr>
    </w:p>
    <w:p w14:paraId="3BED3716" w14:textId="77777777" w:rsidR="00041F97" w:rsidRDefault="00041F97" w:rsidP="003C2B24">
      <w:pPr>
        <w:pStyle w:val="Heading2"/>
        <w:numPr>
          <w:ilvl w:val="1"/>
          <w:numId w:val="19"/>
        </w:numPr>
        <w:tabs>
          <w:tab w:val="left" w:pos="821"/>
        </w:tabs>
        <w:ind w:left="820"/>
      </w:pPr>
      <w:r>
        <w:t>Coordination with other</w:t>
      </w:r>
      <w:r>
        <w:rPr>
          <w:spacing w:val="-8"/>
        </w:rPr>
        <w:t xml:space="preserve"> </w:t>
      </w:r>
      <w:r>
        <w:t>Commissions</w:t>
      </w:r>
    </w:p>
    <w:p w14:paraId="251521AB" w14:textId="77777777" w:rsidR="00A573E2" w:rsidRDefault="00831CA8" w:rsidP="00A573E2">
      <w:pPr>
        <w:pStyle w:val="Heading2"/>
        <w:tabs>
          <w:tab w:val="left" w:pos="821"/>
        </w:tabs>
        <w:ind w:firstLine="0"/>
        <w:rPr>
          <w:b w:val="0"/>
          <w:i/>
        </w:rPr>
      </w:pPr>
      <w:r w:rsidRPr="00831CA8">
        <w:rPr>
          <w:b w:val="0"/>
          <w:i/>
        </w:rPr>
        <w:t>The chairs, or their delegates, of the Planning and Sustainability Commission, Design Commission, and Historic Landmarks Commission meet quarterly to discuss trends and issues relevant to their respective commissions and, as appropriate, to coordinate the Commissions’ programs. The chairs will share a summary of their meeting with their respective Commissions.</w:t>
      </w:r>
      <w:r>
        <w:rPr>
          <w:b w:val="0"/>
          <w:i/>
        </w:rPr>
        <w:t xml:space="preserve"> (33.710.030.J)</w:t>
      </w:r>
    </w:p>
    <w:p w14:paraId="3CD52AFC" w14:textId="77777777" w:rsidR="00A573E2" w:rsidRDefault="00A573E2" w:rsidP="00A573E2">
      <w:pPr>
        <w:pStyle w:val="Heading2"/>
        <w:tabs>
          <w:tab w:val="left" w:pos="821"/>
        </w:tabs>
        <w:ind w:firstLine="0"/>
        <w:rPr>
          <w:b w:val="0"/>
          <w:i/>
        </w:rPr>
      </w:pPr>
    </w:p>
    <w:p w14:paraId="31254D4B" w14:textId="7CFB5CCF" w:rsidR="00A573E2" w:rsidRPr="00A573E2" w:rsidRDefault="00A573E2" w:rsidP="00A573E2">
      <w:pPr>
        <w:pStyle w:val="Heading2"/>
        <w:numPr>
          <w:ilvl w:val="1"/>
          <w:numId w:val="19"/>
        </w:numPr>
        <w:tabs>
          <w:tab w:val="left" w:pos="821"/>
        </w:tabs>
        <w:ind w:left="450" w:firstLine="0"/>
        <w:rPr>
          <w:b w:val="0"/>
          <w:i/>
        </w:rPr>
      </w:pPr>
      <w:r w:rsidRPr="00DA2786">
        <w:t>General Communication</w:t>
      </w:r>
    </w:p>
    <w:p w14:paraId="7525CEBD" w14:textId="09405B56" w:rsidR="00A573E2" w:rsidRPr="00A573E2" w:rsidRDefault="00A573E2" w:rsidP="00A573E2">
      <w:pPr>
        <w:pStyle w:val="Heading2"/>
        <w:tabs>
          <w:tab w:val="left" w:pos="821"/>
        </w:tabs>
        <w:ind w:left="821" w:firstLine="0"/>
        <w:rPr>
          <w:b w:val="0"/>
        </w:rPr>
      </w:pPr>
      <w:r>
        <w:rPr>
          <w:b w:val="0"/>
        </w:rPr>
        <w:t>Members are requested to copy both the City Staff Liaison and Supervising Planner on all communication related to Commission business.  However, communications must be limited to issues that would not constitute ex-parte contact</w:t>
      </w:r>
    </w:p>
    <w:p w14:paraId="391C479A" w14:textId="362917F4" w:rsidR="00A573E2" w:rsidRDefault="00A573E2" w:rsidP="00A573E2">
      <w:pPr>
        <w:pStyle w:val="Heading2"/>
        <w:tabs>
          <w:tab w:val="left" w:pos="821"/>
        </w:tabs>
        <w:ind w:left="1080" w:firstLine="0"/>
      </w:pPr>
    </w:p>
    <w:p w14:paraId="7467F1F9" w14:textId="09E53483" w:rsidR="007518F3" w:rsidRPr="007307A1" w:rsidRDefault="007518F3" w:rsidP="00A573E2">
      <w:pPr>
        <w:pStyle w:val="Heading2"/>
        <w:numPr>
          <w:ilvl w:val="1"/>
          <w:numId w:val="19"/>
        </w:numPr>
        <w:tabs>
          <w:tab w:val="left" w:pos="821"/>
        </w:tabs>
        <w:ind w:left="450" w:firstLine="0"/>
      </w:pPr>
      <w:r w:rsidRPr="007307A1">
        <w:t xml:space="preserve">Public </w:t>
      </w:r>
      <w:r>
        <w:t>R</w:t>
      </w:r>
      <w:r w:rsidRPr="007307A1">
        <w:t>ecords</w:t>
      </w:r>
    </w:p>
    <w:p w14:paraId="7B4E3871" w14:textId="18EBB2E3" w:rsidR="007518F3" w:rsidRPr="00DB485F" w:rsidRDefault="009667B7" w:rsidP="009667B7">
      <w:pPr>
        <w:pStyle w:val="Heading2"/>
        <w:tabs>
          <w:tab w:val="left" w:pos="910"/>
        </w:tabs>
        <w:rPr>
          <w:b w:val="0"/>
        </w:rPr>
      </w:pPr>
      <w:r>
        <w:rPr>
          <w:b w:val="0"/>
        </w:rPr>
        <w:tab/>
      </w:r>
      <w:r w:rsidR="007518F3" w:rsidRPr="007307A1">
        <w:rPr>
          <w:b w:val="0"/>
        </w:rPr>
        <w:t xml:space="preserve">All records of the </w:t>
      </w:r>
      <w:r w:rsidR="007518F3">
        <w:rPr>
          <w:b w:val="0"/>
        </w:rPr>
        <w:t>Commission</w:t>
      </w:r>
      <w:r w:rsidR="007518F3" w:rsidRPr="007307A1">
        <w:rPr>
          <w:b w:val="0"/>
        </w:rPr>
        <w:t>, including formal documents, discussion drafts, meeting summaries and exhibits, are public records.  Communications among members relate</w:t>
      </w:r>
      <w:r w:rsidR="007518F3" w:rsidRPr="00977DD5">
        <w:rPr>
          <w:b w:val="0"/>
        </w:rPr>
        <w:t xml:space="preserve">d to the subject matter of the Commission </w:t>
      </w:r>
      <w:r w:rsidR="007518F3">
        <w:rPr>
          <w:b w:val="0"/>
        </w:rPr>
        <w:t>are not</w:t>
      </w:r>
      <w:r w:rsidR="007518F3" w:rsidRPr="007307A1">
        <w:rPr>
          <w:b w:val="0"/>
        </w:rPr>
        <w:t xml:space="preserve"> confidential and may be subject to public records requests.  “Communications” refers to all statements and votes made during meetings, memoranda, work projects, records, documents or materials developed to fulfill the charge, including electronic mail correspondence by and among the members.  The personal, private notes of individual members taken at public meetings </w:t>
      </w:r>
      <w:r w:rsidR="007518F3">
        <w:rPr>
          <w:b w:val="0"/>
        </w:rPr>
        <w:t>may</w:t>
      </w:r>
      <w:r w:rsidR="007518F3" w:rsidRPr="007307A1">
        <w:rPr>
          <w:b w:val="0"/>
        </w:rPr>
        <w:t xml:space="preserve"> be considered public </w:t>
      </w:r>
      <w:r w:rsidR="007518F3">
        <w:rPr>
          <w:b w:val="0"/>
        </w:rPr>
        <w:t xml:space="preserve">records </w:t>
      </w:r>
      <w:r w:rsidR="007518F3" w:rsidRPr="007307A1">
        <w:rPr>
          <w:b w:val="0"/>
        </w:rPr>
        <w:t>to the extent they “relate to the conduct of the public’s business,” (ORS 192.410(4)).</w:t>
      </w:r>
    </w:p>
    <w:p w14:paraId="0DD37803" w14:textId="77777777" w:rsidR="00041F97" w:rsidRDefault="00041F97" w:rsidP="00041F97">
      <w:pPr>
        <w:pStyle w:val="BodyText"/>
        <w:spacing w:before="9"/>
        <w:rPr>
          <w:i/>
          <w:sz w:val="25"/>
        </w:rPr>
      </w:pPr>
    </w:p>
    <w:p w14:paraId="04AFB6DA" w14:textId="0F9A1044" w:rsidR="00041F97" w:rsidRDefault="00041F97" w:rsidP="005113AF">
      <w:pPr>
        <w:pStyle w:val="Heading1"/>
        <w:numPr>
          <w:ilvl w:val="0"/>
          <w:numId w:val="6"/>
        </w:numPr>
        <w:tabs>
          <w:tab w:val="left" w:pos="461"/>
        </w:tabs>
      </w:pPr>
      <w:r>
        <w:t>Orientation and</w:t>
      </w:r>
      <w:r>
        <w:rPr>
          <w:spacing w:val="-4"/>
        </w:rPr>
        <w:t xml:space="preserve"> </w:t>
      </w:r>
      <w:r>
        <w:t>Training</w:t>
      </w:r>
    </w:p>
    <w:p w14:paraId="0F0CA165" w14:textId="77777777" w:rsidR="00A573E2" w:rsidRDefault="00A573E2" w:rsidP="00041F97">
      <w:pPr>
        <w:pStyle w:val="BodyText"/>
        <w:spacing w:before="2"/>
        <w:ind w:left="459" w:right="210"/>
      </w:pPr>
    </w:p>
    <w:p w14:paraId="64067FAB" w14:textId="007B6544" w:rsidR="00041F97" w:rsidRDefault="009C2459" w:rsidP="00041F97">
      <w:pPr>
        <w:pStyle w:val="BodyText"/>
        <w:spacing w:before="2"/>
        <w:ind w:left="459" w:right="210"/>
      </w:pPr>
      <w:r>
        <w:t xml:space="preserve">Staff of the </w:t>
      </w:r>
      <w:r w:rsidR="00041F97">
        <w:t xml:space="preserve">Bureau of Development Services meets with new Commission members </w:t>
      </w:r>
      <w:r w:rsidR="000C5D5B">
        <w:t>immediately</w:t>
      </w:r>
      <w:r w:rsidR="00041F97">
        <w:t xml:space="preserve"> </w:t>
      </w:r>
      <w:r w:rsidR="00C91E09">
        <w:t>following</w:t>
      </w:r>
      <w:r w:rsidR="00041F97">
        <w:t xml:space="preserve"> their appointment to prepare them to effectively serve on the Commission. Bureau staff provides each new member a copy of this Charter and all applicable Design Guidelines. Each new member also receives a general orientation regarding the relationship between the Commission and staff, duties and responsibilities, procedural rules, and the legal constraints under which the Commission operates.</w:t>
      </w:r>
    </w:p>
    <w:p w14:paraId="685C9EFB" w14:textId="77777777" w:rsidR="00041F97" w:rsidRDefault="00041F97" w:rsidP="00041F97">
      <w:pPr>
        <w:pStyle w:val="BodyText"/>
        <w:spacing w:before="9"/>
        <w:rPr>
          <w:sz w:val="19"/>
        </w:rPr>
      </w:pPr>
    </w:p>
    <w:p w14:paraId="444BF78C" w14:textId="77777777" w:rsidR="00041F97" w:rsidRDefault="00041F97" w:rsidP="005113AF">
      <w:pPr>
        <w:pStyle w:val="Heading1"/>
        <w:numPr>
          <w:ilvl w:val="0"/>
          <w:numId w:val="6"/>
        </w:numPr>
        <w:tabs>
          <w:tab w:val="left" w:pos="459"/>
          <w:tab w:val="left" w:pos="460"/>
        </w:tabs>
        <w:ind w:left="450" w:hanging="359"/>
      </w:pPr>
      <w:r>
        <w:t>Other Procedural</w:t>
      </w:r>
      <w:r>
        <w:rPr>
          <w:spacing w:val="-25"/>
        </w:rPr>
        <w:t xml:space="preserve"> </w:t>
      </w:r>
      <w:r>
        <w:t>Questions</w:t>
      </w:r>
    </w:p>
    <w:p w14:paraId="488F174F" w14:textId="77777777" w:rsidR="00A573E2" w:rsidRDefault="00A573E2" w:rsidP="00041F97">
      <w:pPr>
        <w:pStyle w:val="BodyText"/>
        <w:ind w:left="460"/>
      </w:pPr>
    </w:p>
    <w:p w14:paraId="31649312" w14:textId="7BCED35A" w:rsidR="00041F97" w:rsidRDefault="00041F97" w:rsidP="00041F97">
      <w:pPr>
        <w:pStyle w:val="BodyText"/>
        <w:ind w:left="460"/>
      </w:pPr>
      <w:r>
        <w:t>To resolve procedural questions not addressed by these Rules, the Commission refers to the current edition of Robert's Rules of Order.</w:t>
      </w:r>
    </w:p>
    <w:p w14:paraId="7A6AF1E0" w14:textId="77777777" w:rsidR="00041F97" w:rsidRDefault="00041F97" w:rsidP="00041F97">
      <w:pPr>
        <w:pStyle w:val="BodyText"/>
        <w:spacing w:before="8"/>
        <w:rPr>
          <w:sz w:val="23"/>
        </w:rPr>
      </w:pPr>
    </w:p>
    <w:p w14:paraId="73CE247E" w14:textId="77777777" w:rsidR="00041F97" w:rsidRDefault="00041F97" w:rsidP="005113AF">
      <w:pPr>
        <w:pStyle w:val="Heading1"/>
        <w:numPr>
          <w:ilvl w:val="0"/>
          <w:numId w:val="6"/>
        </w:numPr>
        <w:tabs>
          <w:tab w:val="left" w:pos="461"/>
        </w:tabs>
        <w:ind w:left="460"/>
      </w:pPr>
      <w:r>
        <w:t>Amendments</w:t>
      </w:r>
    </w:p>
    <w:p w14:paraId="704C36B7" w14:textId="77777777" w:rsidR="00A573E2" w:rsidRDefault="00A573E2" w:rsidP="00041F97">
      <w:pPr>
        <w:pStyle w:val="BodyText"/>
        <w:spacing w:before="2"/>
        <w:ind w:left="460" w:right="100"/>
      </w:pPr>
    </w:p>
    <w:p w14:paraId="465AFB5F" w14:textId="18B19921" w:rsidR="00041F97" w:rsidRDefault="00041F97" w:rsidP="00041F97">
      <w:pPr>
        <w:pStyle w:val="BodyText"/>
        <w:spacing w:before="2"/>
        <w:ind w:left="460" w:right="100"/>
      </w:pPr>
      <w:r>
        <w:t>These bylaws may be amended by a majority vote of the Commission members</w:t>
      </w:r>
      <w:r w:rsidR="007518F3">
        <w:t xml:space="preserve"> present</w:t>
      </w:r>
      <w:r>
        <w:t xml:space="preserve">, except that portions of the bylaws that are also in Chapter 33.710 of the zoning code (indicated in </w:t>
      </w:r>
      <w:r>
        <w:rPr>
          <w:i/>
        </w:rPr>
        <w:t>italics</w:t>
      </w:r>
      <w:r>
        <w:t xml:space="preserve">) may only be amended </w:t>
      </w:r>
      <w:r w:rsidR="007518F3">
        <w:t>if Council</w:t>
      </w:r>
      <w:r>
        <w:t xml:space="preserve"> amend</w:t>
      </w:r>
      <w:r w:rsidR="007518F3">
        <w:t>s</w:t>
      </w:r>
      <w:r>
        <w:t xml:space="preserve"> the provision in the zoning code.</w:t>
      </w:r>
    </w:p>
    <w:p w14:paraId="2B6A4042" w14:textId="77777777" w:rsidR="00041F97" w:rsidRDefault="00041F97" w:rsidP="00041F97">
      <w:pPr>
        <w:pStyle w:val="BodyText"/>
        <w:spacing w:before="11"/>
        <w:rPr>
          <w:sz w:val="19"/>
        </w:rPr>
      </w:pPr>
    </w:p>
    <w:p w14:paraId="262FE82A" w14:textId="4AD1308B" w:rsidR="00041F97" w:rsidRDefault="00041F97" w:rsidP="00C858E8">
      <w:pPr>
        <w:pStyle w:val="BodyText"/>
        <w:ind w:left="459" w:right="103"/>
      </w:pPr>
      <w:r>
        <w:t>If the portions of Chapter 33.710 of the zoning code that are also in these bylaws are amended through the legislative process, the amendment will automatically b</w:t>
      </w:r>
      <w:r w:rsidR="00C858E8">
        <w:t xml:space="preserve">e reflected in this charter. </w:t>
      </w:r>
    </w:p>
    <w:p w14:paraId="57924E91" w14:textId="77777777" w:rsidR="00A573E2" w:rsidRDefault="00A573E2" w:rsidP="00A573E2">
      <w:pPr>
        <w:pStyle w:val="Default"/>
        <w:ind w:firstLine="459"/>
        <w:rPr>
          <w:rFonts w:ascii="Trebuchet MS" w:eastAsia="Trebuchet MS" w:hAnsi="Trebuchet MS" w:cs="Trebuchet MS"/>
          <w:i/>
          <w:color w:val="auto"/>
          <w:sz w:val="20"/>
          <w:szCs w:val="20"/>
        </w:rPr>
      </w:pPr>
    </w:p>
    <w:p w14:paraId="6310D45A" w14:textId="77777777" w:rsidR="003C0BC0" w:rsidRDefault="003C0BC0" w:rsidP="00A573E2">
      <w:pPr>
        <w:pStyle w:val="Default"/>
        <w:ind w:firstLine="459"/>
        <w:rPr>
          <w:rFonts w:ascii="Trebuchet MS" w:eastAsia="Trebuchet MS" w:hAnsi="Trebuchet MS" w:cs="Trebuchet MS"/>
          <w:i/>
          <w:color w:val="auto"/>
          <w:sz w:val="20"/>
          <w:szCs w:val="20"/>
        </w:rPr>
      </w:pPr>
    </w:p>
    <w:p w14:paraId="215D02EF" w14:textId="4E385B3B" w:rsidR="00A573E2" w:rsidRDefault="00A573E2" w:rsidP="00A573E2">
      <w:pPr>
        <w:pStyle w:val="Default"/>
        <w:ind w:firstLine="459"/>
        <w:rPr>
          <w:i/>
          <w:sz w:val="20"/>
          <w:szCs w:val="20"/>
        </w:rPr>
      </w:pPr>
      <w:r w:rsidRPr="00DA2786">
        <w:rPr>
          <w:rFonts w:ascii="Trebuchet MS" w:eastAsia="Trebuchet MS" w:hAnsi="Trebuchet MS" w:cs="Trebuchet MS"/>
          <w:i/>
          <w:color w:val="auto"/>
          <w:sz w:val="20"/>
          <w:szCs w:val="20"/>
        </w:rPr>
        <w:t>Adopted by the Port</w:t>
      </w:r>
      <w:r>
        <w:rPr>
          <w:rFonts w:ascii="Trebuchet MS" w:eastAsia="Trebuchet MS" w:hAnsi="Trebuchet MS" w:cs="Trebuchet MS"/>
          <w:i/>
          <w:color w:val="auto"/>
          <w:sz w:val="20"/>
          <w:szCs w:val="20"/>
        </w:rPr>
        <w:t xml:space="preserve">land Historic Landmarks Commission on </w:t>
      </w:r>
      <w:r w:rsidR="005113AF">
        <w:rPr>
          <w:rFonts w:ascii="Trebuchet MS" w:eastAsia="Trebuchet MS" w:hAnsi="Trebuchet MS" w:cs="Trebuchet MS"/>
          <w:i/>
          <w:color w:val="auto"/>
          <w:sz w:val="20"/>
          <w:szCs w:val="20"/>
          <w:u w:val="single"/>
        </w:rPr>
        <w:t xml:space="preserve">  January 22, 2018</w:t>
      </w:r>
      <w:r>
        <w:rPr>
          <w:rFonts w:ascii="Trebuchet MS" w:eastAsia="Trebuchet MS" w:hAnsi="Trebuchet MS" w:cs="Trebuchet MS"/>
          <w:i/>
          <w:color w:val="auto"/>
          <w:sz w:val="20"/>
          <w:szCs w:val="20"/>
          <w:u w:val="single"/>
        </w:rPr>
        <w:t xml:space="preserve">  </w:t>
      </w:r>
      <w:r>
        <w:rPr>
          <w:rFonts w:ascii="Trebuchet MS" w:eastAsia="Trebuchet MS" w:hAnsi="Trebuchet MS" w:cs="Trebuchet MS"/>
          <w:i/>
          <w:color w:val="auto"/>
          <w:sz w:val="20"/>
          <w:szCs w:val="20"/>
          <w:u w:val="single"/>
        </w:rPr>
        <w:tab/>
      </w:r>
      <w:r w:rsidRPr="00006B20">
        <w:rPr>
          <w:i/>
          <w:u w:val="single"/>
        </w:rPr>
        <w:t>(</w:t>
      </w:r>
      <w:r w:rsidRPr="00DA2786">
        <w:rPr>
          <w:i/>
          <w:sz w:val="20"/>
          <w:szCs w:val="20"/>
        </w:rPr>
        <w:t>date approved)</w:t>
      </w:r>
    </w:p>
    <w:p w14:paraId="74FDF8A2" w14:textId="3989B479" w:rsidR="003C0BC0" w:rsidRPr="003C0BC0" w:rsidRDefault="003C0BC0" w:rsidP="00A573E2">
      <w:pPr>
        <w:pStyle w:val="Default"/>
        <w:ind w:firstLine="459"/>
        <w:rPr>
          <w:rFonts w:ascii="Trebuchet MS" w:hAnsi="Trebuchet MS"/>
          <w:i/>
          <w:sz w:val="20"/>
          <w:szCs w:val="20"/>
        </w:rPr>
      </w:pPr>
      <w:r w:rsidRPr="003C0BC0">
        <w:rPr>
          <w:rFonts w:ascii="Trebuchet MS" w:hAnsi="Trebuchet MS"/>
          <w:i/>
          <w:sz w:val="20"/>
          <w:szCs w:val="20"/>
        </w:rPr>
        <w:t xml:space="preserve">Amended by and adopted by the Portland Historic Landmarks Commission on </w:t>
      </w:r>
      <w:r w:rsidR="008B463C">
        <w:rPr>
          <w:rFonts w:ascii="Trebuchet MS" w:hAnsi="Trebuchet MS"/>
          <w:i/>
          <w:sz w:val="20"/>
          <w:szCs w:val="20"/>
        </w:rPr>
        <w:t xml:space="preserve">January </w:t>
      </w:r>
      <w:r w:rsidR="008B463C" w:rsidRPr="008B463C">
        <w:rPr>
          <w:rFonts w:ascii="Trebuchet MS" w:hAnsi="Trebuchet MS"/>
          <w:i/>
          <w:sz w:val="20"/>
          <w:szCs w:val="20"/>
          <w:highlight w:val="yellow"/>
        </w:rPr>
        <w:t>X</w:t>
      </w:r>
      <w:r w:rsidR="008B463C">
        <w:rPr>
          <w:rFonts w:ascii="Trebuchet MS" w:hAnsi="Trebuchet MS"/>
          <w:i/>
          <w:sz w:val="20"/>
          <w:szCs w:val="20"/>
        </w:rPr>
        <w:t>, 2023</w:t>
      </w:r>
      <w:r w:rsidRPr="003C0BC0">
        <w:rPr>
          <w:rFonts w:ascii="Trebuchet MS" w:hAnsi="Trebuchet MS"/>
          <w:i/>
          <w:sz w:val="20"/>
          <w:szCs w:val="20"/>
        </w:rPr>
        <w:t>.</w:t>
      </w:r>
    </w:p>
    <w:p w14:paraId="14EE7C20" w14:textId="72CA6897" w:rsidR="00A573E2" w:rsidRPr="00DA2786" w:rsidRDefault="00A573E2" w:rsidP="00A573E2">
      <w:pPr>
        <w:pStyle w:val="Default"/>
        <w:tabs>
          <w:tab w:val="left" w:pos="450"/>
        </w:tabs>
        <w:rPr>
          <w:i/>
        </w:rPr>
      </w:pPr>
    </w:p>
    <w:p w14:paraId="56402381" w14:textId="77777777" w:rsidR="00A573E2" w:rsidRDefault="00A573E2" w:rsidP="00C858E8">
      <w:pPr>
        <w:pStyle w:val="BodyText"/>
        <w:ind w:left="459" w:right="103"/>
      </w:pPr>
    </w:p>
    <w:sectPr w:rsidR="00A573E2" w:rsidSect="00626F89">
      <w:pgSz w:w="12240" w:h="15840"/>
      <w:pgMar w:top="1440" w:right="1440" w:bottom="1440" w:left="1440" w:header="720" w:footer="9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4938" w14:textId="77777777" w:rsidR="0070171B" w:rsidRDefault="0070171B">
      <w:r>
        <w:separator/>
      </w:r>
    </w:p>
  </w:endnote>
  <w:endnote w:type="continuationSeparator" w:id="0">
    <w:p w14:paraId="42DAB19F" w14:textId="77777777" w:rsidR="0070171B" w:rsidRDefault="0070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56316371"/>
      <w:docPartObj>
        <w:docPartGallery w:val="Page Numbers (Bottom of Page)"/>
        <w:docPartUnique/>
      </w:docPartObj>
    </w:sdtPr>
    <w:sdtEndPr/>
    <w:sdtContent>
      <w:sdt>
        <w:sdtPr>
          <w:rPr>
            <w:sz w:val="16"/>
            <w:szCs w:val="16"/>
          </w:rPr>
          <w:id w:val="22138232"/>
          <w:docPartObj>
            <w:docPartGallery w:val="Page Numbers (Top of Page)"/>
            <w:docPartUnique/>
          </w:docPartObj>
        </w:sdtPr>
        <w:sdtEndPr/>
        <w:sdtContent>
          <w:p w14:paraId="797BA684" w14:textId="20941059" w:rsidR="007811CF" w:rsidRPr="007811CF" w:rsidRDefault="007811CF" w:rsidP="007811CF">
            <w:pPr>
              <w:pStyle w:val="Footer"/>
              <w:rPr>
                <w:sz w:val="16"/>
                <w:szCs w:val="16"/>
              </w:rPr>
            </w:pPr>
            <w:r w:rsidRPr="007811CF">
              <w:rPr>
                <w:sz w:val="16"/>
              </w:rPr>
              <w:t>Historic Landmarks Commission Bylaws</w:t>
            </w:r>
            <w:r>
              <w:rPr>
                <w:sz w:val="16"/>
              </w:rPr>
              <w:t xml:space="preserve">                                                                                                                     </w:t>
            </w:r>
            <w:r w:rsidRPr="007811CF">
              <w:rPr>
                <w:sz w:val="16"/>
                <w:szCs w:val="16"/>
              </w:rPr>
              <w:t xml:space="preserve">Page </w:t>
            </w:r>
            <w:r w:rsidRPr="007811CF">
              <w:rPr>
                <w:b/>
                <w:bCs/>
                <w:sz w:val="16"/>
                <w:szCs w:val="16"/>
              </w:rPr>
              <w:fldChar w:fldCharType="begin"/>
            </w:r>
            <w:r w:rsidRPr="007811CF">
              <w:rPr>
                <w:b/>
                <w:bCs/>
                <w:sz w:val="16"/>
                <w:szCs w:val="16"/>
              </w:rPr>
              <w:instrText xml:space="preserve"> PAGE </w:instrText>
            </w:r>
            <w:r w:rsidRPr="007811CF">
              <w:rPr>
                <w:b/>
                <w:bCs/>
                <w:sz w:val="16"/>
                <w:szCs w:val="16"/>
              </w:rPr>
              <w:fldChar w:fldCharType="separate"/>
            </w:r>
            <w:r w:rsidR="00825F3E">
              <w:rPr>
                <w:b/>
                <w:bCs/>
                <w:noProof/>
                <w:sz w:val="16"/>
                <w:szCs w:val="16"/>
              </w:rPr>
              <w:t>9</w:t>
            </w:r>
            <w:r w:rsidRPr="007811CF">
              <w:rPr>
                <w:b/>
                <w:bCs/>
                <w:sz w:val="16"/>
                <w:szCs w:val="16"/>
              </w:rPr>
              <w:fldChar w:fldCharType="end"/>
            </w:r>
            <w:r w:rsidRPr="007811CF">
              <w:rPr>
                <w:sz w:val="16"/>
                <w:szCs w:val="16"/>
              </w:rPr>
              <w:t xml:space="preserve"> of </w:t>
            </w:r>
            <w:r w:rsidRPr="007811CF">
              <w:rPr>
                <w:b/>
                <w:bCs/>
                <w:sz w:val="16"/>
                <w:szCs w:val="16"/>
              </w:rPr>
              <w:fldChar w:fldCharType="begin"/>
            </w:r>
            <w:r w:rsidRPr="007811CF">
              <w:rPr>
                <w:b/>
                <w:bCs/>
                <w:sz w:val="16"/>
                <w:szCs w:val="16"/>
              </w:rPr>
              <w:instrText xml:space="preserve"> NUMPAGES  </w:instrText>
            </w:r>
            <w:r w:rsidRPr="007811CF">
              <w:rPr>
                <w:b/>
                <w:bCs/>
                <w:sz w:val="16"/>
                <w:szCs w:val="16"/>
              </w:rPr>
              <w:fldChar w:fldCharType="separate"/>
            </w:r>
            <w:r w:rsidR="00825F3E">
              <w:rPr>
                <w:b/>
                <w:bCs/>
                <w:noProof/>
                <w:sz w:val="16"/>
                <w:szCs w:val="16"/>
              </w:rPr>
              <w:t>9</w:t>
            </w:r>
            <w:r w:rsidRPr="007811CF">
              <w:rPr>
                <w:b/>
                <w:bCs/>
                <w:sz w:val="16"/>
                <w:szCs w:val="16"/>
              </w:rPr>
              <w:fldChar w:fldCharType="end"/>
            </w:r>
          </w:p>
        </w:sdtContent>
      </w:sdt>
    </w:sdtContent>
  </w:sdt>
  <w:p w14:paraId="27888C99" w14:textId="0C4947D9" w:rsidR="00F12745" w:rsidRPr="007811CF" w:rsidRDefault="00F12745">
    <w:pPr>
      <w:pStyle w:val="BodyText"/>
      <w:spacing w:line="14"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D2F8" w14:textId="14FAE7C9" w:rsidR="0042048B" w:rsidRDefault="0042048B" w:rsidP="0042048B">
    <w:pPr>
      <w:pStyle w:val="Footer"/>
      <w:ind w:firstLine="720"/>
      <w:jc w:val="right"/>
    </w:pPr>
  </w:p>
  <w:p w14:paraId="35EB5E95" w14:textId="77777777" w:rsidR="00A14AEF" w:rsidRDefault="00A14AEF" w:rsidP="00A14AEF">
    <w:pPr>
      <w:pStyle w:val="BodyText"/>
      <w:spacing w:line="14" w:lineRule="auto"/>
    </w:pPr>
    <w:r>
      <w:rPr>
        <w:noProof/>
      </w:rPr>
      <mc:AlternateContent>
        <mc:Choice Requires="wps">
          <w:drawing>
            <wp:anchor distT="0" distB="0" distL="114300" distR="114300" simplePos="0" relativeHeight="251660288" behindDoc="1" locked="0" layoutInCell="1" allowOverlap="1" wp14:anchorId="21985325" wp14:editId="6BBA8430">
              <wp:simplePos x="0" y="0"/>
              <wp:positionH relativeFrom="page">
                <wp:posOffset>6109970</wp:posOffset>
              </wp:positionH>
              <wp:positionV relativeFrom="page">
                <wp:posOffset>9465310</wp:posOffset>
              </wp:positionV>
              <wp:extent cx="531495" cy="143510"/>
              <wp:effectExtent l="0" t="0" r="190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ACAFB" w14:textId="7346829F" w:rsidR="00A14AEF" w:rsidRDefault="00A14AEF" w:rsidP="00A14AEF">
                          <w:pPr>
                            <w:spacing w:before="19"/>
                            <w:ind w:left="20"/>
                            <w:rPr>
                              <w:sz w:val="16"/>
                            </w:rPr>
                          </w:pPr>
                          <w:r>
                            <w:rPr>
                              <w:sz w:val="16"/>
                            </w:rPr>
                            <w:t xml:space="preserve">Page </w:t>
                          </w:r>
                          <w:r>
                            <w:fldChar w:fldCharType="begin"/>
                          </w:r>
                          <w:r>
                            <w:rPr>
                              <w:sz w:val="16"/>
                            </w:rPr>
                            <w:instrText xml:space="preserve"> PAGE </w:instrText>
                          </w:r>
                          <w:r>
                            <w:fldChar w:fldCharType="separate"/>
                          </w:r>
                          <w:r>
                            <w:rPr>
                              <w:noProof/>
                              <w:sz w:val="16"/>
                            </w:rPr>
                            <w:t>1</w:t>
                          </w:r>
                          <w:r>
                            <w:fldChar w:fldCharType="end"/>
                          </w:r>
                          <w:r>
                            <w:rPr>
                              <w:sz w:val="16"/>
                            </w:rPr>
                            <w:t xml:space="preserve"> of 9 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5325" id="_x0000_t202" coordsize="21600,21600" o:spt="202" path="m,l,21600r21600,l21600,xe">
              <v:stroke joinstyle="miter"/>
              <v:path gradientshapeok="t" o:connecttype="rect"/>
            </v:shapetype>
            <v:shape id="Text Box 1" o:spid="_x0000_s1026" type="#_x0000_t202" style="position:absolute;margin-left:481.1pt;margin-top:745.3pt;width:41.85pt;height:1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" filled="f" stroked="f">
              <v:textbox inset="0,0,0,0">
                <w:txbxContent>
                  <w:p w14:paraId="789ACAFB" w14:textId="7346829F" w:rsidR="00A14AEF" w:rsidRDefault="00A14AEF" w:rsidP="00A14AEF">
                    <w:pPr>
                      <w:spacing w:before="19"/>
                      <w:ind w:left="20"/>
                      <w:rPr>
                        <w:sz w:val="16"/>
                      </w:rPr>
                    </w:pPr>
                    <w:r>
                      <w:rPr>
                        <w:sz w:val="16"/>
                      </w:rPr>
                      <w:t xml:space="preserve">Page </w:t>
                    </w:r>
                    <w:r>
                      <w:fldChar w:fldCharType="begin"/>
                    </w:r>
                    <w:r>
                      <w:rPr>
                        <w:sz w:val="16"/>
                      </w:rPr>
                      <w:instrText xml:space="preserve"> PAGE </w:instrText>
                    </w:r>
                    <w:r>
                      <w:fldChar w:fldCharType="separate"/>
                    </w:r>
                    <w:r>
                      <w:rPr>
                        <w:noProof/>
                        <w:sz w:val="16"/>
                      </w:rPr>
                      <w:t>1</w:t>
                    </w:r>
                    <w:r>
                      <w:fldChar w:fldCharType="end"/>
                    </w:r>
                    <w:r>
                      <w:rPr>
                        <w:sz w:val="16"/>
                      </w:rPr>
                      <w:t xml:space="preserve"> of 9 98</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D6E05CB" wp14:editId="30E12D5D">
              <wp:simplePos x="0" y="0"/>
              <wp:positionH relativeFrom="page">
                <wp:posOffset>1130300</wp:posOffset>
              </wp:positionH>
              <wp:positionV relativeFrom="page">
                <wp:posOffset>9347200</wp:posOffset>
              </wp:positionV>
              <wp:extent cx="2153285" cy="261620"/>
              <wp:effectExtent l="0" t="0" r="184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EB87" w14:textId="77777777" w:rsidR="00A14AEF" w:rsidRDefault="00A14AEF" w:rsidP="00A14AEF">
                          <w:pPr>
                            <w:spacing w:before="19"/>
                            <w:ind w:left="20" w:right="-1"/>
                            <w:rPr>
                              <w:sz w:val="16"/>
                            </w:rPr>
                          </w:pPr>
                        </w:p>
                        <w:p w14:paraId="2B7D8D0F" w14:textId="4C8C30D9" w:rsidR="00A14AEF" w:rsidRDefault="00A14AEF" w:rsidP="00A14AEF">
                          <w:pPr>
                            <w:spacing w:before="19"/>
                            <w:ind w:left="20" w:right="-1"/>
                            <w:rPr>
                              <w:sz w:val="16"/>
                            </w:rPr>
                          </w:pPr>
                          <w:r>
                            <w:rPr>
                              <w:sz w:val="16"/>
                            </w:rPr>
                            <w:t xml:space="preserve">Historic Landmarks Commission Bylaws </w:t>
                          </w:r>
                        </w:p>
                        <w:p w14:paraId="0A994B53" w14:textId="77777777" w:rsidR="00A14AEF" w:rsidRDefault="00A14AEF" w:rsidP="00A14AEF">
                          <w:pPr>
                            <w:spacing w:before="19"/>
                            <w:ind w:left="20" w:righ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E05CB" id="Text Box 2" o:spid="_x0000_s1027" type="#_x0000_t202" style="position:absolute;margin-left:89pt;margin-top:736pt;width:169.55pt;height:2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" filled="f" stroked="f">
              <v:textbox inset="0,0,0,0">
                <w:txbxContent>
                  <w:p w14:paraId="6569EB87" w14:textId="77777777" w:rsidR="00A14AEF" w:rsidRDefault="00A14AEF" w:rsidP="00A14AEF">
                    <w:pPr>
                      <w:spacing w:before="19"/>
                      <w:ind w:left="20" w:right="-1"/>
                      <w:rPr>
                        <w:sz w:val="16"/>
                      </w:rPr>
                    </w:pPr>
                  </w:p>
                  <w:p w14:paraId="2B7D8D0F" w14:textId="4C8C30D9" w:rsidR="00A14AEF" w:rsidRDefault="00A14AEF" w:rsidP="00A14AEF">
                    <w:pPr>
                      <w:spacing w:before="19"/>
                      <w:ind w:left="20" w:right="-1"/>
                      <w:rPr>
                        <w:sz w:val="16"/>
                      </w:rPr>
                    </w:pPr>
                    <w:r>
                      <w:rPr>
                        <w:sz w:val="16"/>
                      </w:rPr>
                      <w:t xml:space="preserve">Historic Landmarks Commission Bylaws </w:t>
                    </w:r>
                  </w:p>
                  <w:p w14:paraId="0A994B53" w14:textId="77777777" w:rsidR="00A14AEF" w:rsidRDefault="00A14AEF" w:rsidP="00A14AEF">
                    <w:pPr>
                      <w:spacing w:before="19"/>
                      <w:ind w:left="20" w:right="-1"/>
                      <w:rPr>
                        <w:sz w:val="16"/>
                      </w:rPr>
                    </w:pPr>
                  </w:p>
                </w:txbxContent>
              </v:textbox>
              <w10:wrap anchorx="page" anchory="page"/>
            </v:shape>
          </w:pict>
        </mc:Fallback>
      </mc:AlternateContent>
    </w:r>
  </w:p>
  <w:p w14:paraId="3EBF7769" w14:textId="732DCC7D" w:rsidR="00A32885" w:rsidRDefault="00A3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BC2A" w14:textId="77777777" w:rsidR="0070171B" w:rsidRDefault="0070171B">
      <w:r>
        <w:separator/>
      </w:r>
    </w:p>
  </w:footnote>
  <w:footnote w:type="continuationSeparator" w:id="0">
    <w:p w14:paraId="4FF4267E" w14:textId="77777777" w:rsidR="0070171B" w:rsidRDefault="0070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C712" w14:textId="622F0738" w:rsidR="000C20C3" w:rsidRDefault="000C20C3" w:rsidP="000C20C3">
    <w:pPr>
      <w:pStyle w:val="Header"/>
      <w:tabs>
        <w:tab w:val="clear" w:pos="4680"/>
        <w:tab w:val="clear" w:pos="9360"/>
        <w:tab w:val="left" w:pos="69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D90"/>
    <w:multiLevelType w:val="hybridMultilevel"/>
    <w:tmpl w:val="7AA818C6"/>
    <w:lvl w:ilvl="0" w:tplc="AA3C3B40">
      <w:start w:val="1"/>
      <w:numFmt w:val="upperLetter"/>
      <w:lvlText w:val="%1."/>
      <w:lvlJc w:val="left"/>
      <w:pPr>
        <w:ind w:left="459" w:hanging="360"/>
      </w:pPr>
      <w:rPr>
        <w:rFonts w:hint="default"/>
        <w:b/>
        <w:bCs/>
        <w:i w:val="0"/>
        <w:spacing w:val="-1"/>
        <w:w w:val="100"/>
        <w:sz w:val="20"/>
        <w:szCs w:val="20"/>
      </w:rPr>
    </w:lvl>
    <w:lvl w:ilvl="1" w:tplc="AE6CEFE6">
      <w:start w:val="1"/>
      <w:numFmt w:val="decimal"/>
      <w:lvlText w:val="%2."/>
      <w:lvlJc w:val="left"/>
      <w:pPr>
        <w:ind w:left="1359" w:hanging="510"/>
      </w:pPr>
      <w:rPr>
        <w:rFonts w:ascii="Trebuchet MS" w:eastAsia="Trebuchet MS" w:hAnsi="Trebuchet MS" w:cs="Trebuchet MS" w:hint="default"/>
        <w:i/>
        <w:spacing w:val="-1"/>
        <w:w w:val="100"/>
        <w:sz w:val="20"/>
        <w:szCs w:val="20"/>
      </w:rPr>
    </w:lvl>
    <w:lvl w:ilvl="2" w:tplc="F13646B2">
      <w:numFmt w:val="bullet"/>
      <w:lvlText w:val="•"/>
      <w:lvlJc w:val="left"/>
      <w:pPr>
        <w:ind w:left="1378" w:hanging="510"/>
      </w:pPr>
      <w:rPr>
        <w:rFonts w:hint="default"/>
      </w:rPr>
    </w:lvl>
    <w:lvl w:ilvl="3" w:tplc="956A8D0A">
      <w:numFmt w:val="bullet"/>
      <w:lvlText w:val="•"/>
      <w:lvlJc w:val="left"/>
      <w:pPr>
        <w:ind w:left="1396" w:hanging="510"/>
      </w:pPr>
      <w:rPr>
        <w:rFonts w:hint="default"/>
      </w:rPr>
    </w:lvl>
    <w:lvl w:ilvl="4" w:tplc="34F27188">
      <w:numFmt w:val="bullet"/>
      <w:lvlText w:val="•"/>
      <w:lvlJc w:val="left"/>
      <w:pPr>
        <w:ind w:left="1414" w:hanging="510"/>
      </w:pPr>
      <w:rPr>
        <w:rFonts w:hint="default"/>
      </w:rPr>
    </w:lvl>
    <w:lvl w:ilvl="5" w:tplc="E9D8A456">
      <w:numFmt w:val="bullet"/>
      <w:lvlText w:val="•"/>
      <w:lvlJc w:val="left"/>
      <w:pPr>
        <w:ind w:left="1432" w:hanging="510"/>
      </w:pPr>
      <w:rPr>
        <w:rFonts w:hint="default"/>
      </w:rPr>
    </w:lvl>
    <w:lvl w:ilvl="6" w:tplc="FA423D1A">
      <w:numFmt w:val="bullet"/>
      <w:lvlText w:val="•"/>
      <w:lvlJc w:val="left"/>
      <w:pPr>
        <w:ind w:left="1451" w:hanging="510"/>
      </w:pPr>
      <w:rPr>
        <w:rFonts w:hint="default"/>
      </w:rPr>
    </w:lvl>
    <w:lvl w:ilvl="7" w:tplc="870089AE">
      <w:numFmt w:val="bullet"/>
      <w:lvlText w:val="•"/>
      <w:lvlJc w:val="left"/>
      <w:pPr>
        <w:ind w:left="1469" w:hanging="510"/>
      </w:pPr>
      <w:rPr>
        <w:rFonts w:hint="default"/>
      </w:rPr>
    </w:lvl>
    <w:lvl w:ilvl="8" w:tplc="41409808">
      <w:numFmt w:val="bullet"/>
      <w:lvlText w:val="•"/>
      <w:lvlJc w:val="left"/>
      <w:pPr>
        <w:ind w:left="1487" w:hanging="510"/>
      </w:pPr>
      <w:rPr>
        <w:rFonts w:hint="default"/>
      </w:rPr>
    </w:lvl>
  </w:abstractNum>
  <w:abstractNum w:abstractNumId="1" w15:restartNumberingAfterBreak="0">
    <w:nsid w:val="0ACF5DE6"/>
    <w:multiLevelType w:val="hybridMultilevel"/>
    <w:tmpl w:val="1C6E03BC"/>
    <w:lvl w:ilvl="0" w:tplc="8486942C">
      <w:numFmt w:val="bullet"/>
      <w:lvlText w:val="-"/>
      <w:lvlJc w:val="left"/>
      <w:pPr>
        <w:ind w:left="2619" w:hanging="360"/>
      </w:pPr>
      <w:rPr>
        <w:rFonts w:ascii="Times New Roman" w:eastAsia="Times New Roman" w:hAnsi="Times New Roman" w:cs="Times New Roman" w:hint="default"/>
        <w:w w:val="100"/>
        <w:sz w:val="20"/>
        <w:szCs w:val="20"/>
      </w:rPr>
    </w:lvl>
    <w:lvl w:ilvl="1" w:tplc="DEC48F9C">
      <w:numFmt w:val="bullet"/>
      <w:lvlText w:val="•"/>
      <w:lvlJc w:val="left"/>
      <w:pPr>
        <w:ind w:left="3242" w:hanging="360"/>
      </w:pPr>
      <w:rPr>
        <w:rFonts w:hint="default"/>
      </w:rPr>
    </w:lvl>
    <w:lvl w:ilvl="2" w:tplc="B5AC3360">
      <w:numFmt w:val="bullet"/>
      <w:lvlText w:val="•"/>
      <w:lvlJc w:val="left"/>
      <w:pPr>
        <w:ind w:left="3864" w:hanging="360"/>
      </w:pPr>
      <w:rPr>
        <w:rFonts w:hint="default"/>
      </w:rPr>
    </w:lvl>
    <w:lvl w:ilvl="3" w:tplc="4DA87932">
      <w:numFmt w:val="bullet"/>
      <w:lvlText w:val="•"/>
      <w:lvlJc w:val="left"/>
      <w:pPr>
        <w:ind w:left="4486" w:hanging="360"/>
      </w:pPr>
      <w:rPr>
        <w:rFonts w:hint="default"/>
      </w:rPr>
    </w:lvl>
    <w:lvl w:ilvl="4" w:tplc="E7BCDD9C">
      <w:numFmt w:val="bullet"/>
      <w:lvlText w:val="•"/>
      <w:lvlJc w:val="left"/>
      <w:pPr>
        <w:ind w:left="5108" w:hanging="360"/>
      </w:pPr>
      <w:rPr>
        <w:rFonts w:hint="default"/>
      </w:rPr>
    </w:lvl>
    <w:lvl w:ilvl="5" w:tplc="6AA46F80">
      <w:numFmt w:val="bullet"/>
      <w:lvlText w:val="•"/>
      <w:lvlJc w:val="left"/>
      <w:pPr>
        <w:ind w:left="5730" w:hanging="360"/>
      </w:pPr>
      <w:rPr>
        <w:rFonts w:hint="default"/>
      </w:rPr>
    </w:lvl>
    <w:lvl w:ilvl="6" w:tplc="16C6F5C4">
      <w:numFmt w:val="bullet"/>
      <w:lvlText w:val="•"/>
      <w:lvlJc w:val="left"/>
      <w:pPr>
        <w:ind w:left="6352" w:hanging="360"/>
      </w:pPr>
      <w:rPr>
        <w:rFonts w:hint="default"/>
      </w:rPr>
    </w:lvl>
    <w:lvl w:ilvl="7" w:tplc="F05C854A">
      <w:numFmt w:val="bullet"/>
      <w:lvlText w:val="•"/>
      <w:lvlJc w:val="left"/>
      <w:pPr>
        <w:ind w:left="6974" w:hanging="360"/>
      </w:pPr>
      <w:rPr>
        <w:rFonts w:hint="default"/>
      </w:rPr>
    </w:lvl>
    <w:lvl w:ilvl="8" w:tplc="EB7E0818">
      <w:numFmt w:val="bullet"/>
      <w:lvlText w:val="•"/>
      <w:lvlJc w:val="left"/>
      <w:pPr>
        <w:ind w:left="7596" w:hanging="360"/>
      </w:pPr>
      <w:rPr>
        <w:rFonts w:hint="default"/>
      </w:rPr>
    </w:lvl>
  </w:abstractNum>
  <w:abstractNum w:abstractNumId="2" w15:restartNumberingAfterBreak="0">
    <w:nsid w:val="12A909FF"/>
    <w:multiLevelType w:val="hybridMultilevel"/>
    <w:tmpl w:val="93581750"/>
    <w:lvl w:ilvl="0" w:tplc="AD7E5678">
      <w:start w:val="1"/>
      <w:numFmt w:val="upperLetter"/>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3" w15:restartNumberingAfterBreak="0">
    <w:nsid w:val="1A6375BF"/>
    <w:multiLevelType w:val="hybridMultilevel"/>
    <w:tmpl w:val="C7D84A80"/>
    <w:lvl w:ilvl="0" w:tplc="905A5D80">
      <w:start w:val="1"/>
      <w:numFmt w:val="lowerLetter"/>
      <w:lvlText w:val="%1."/>
      <w:lvlJc w:val="left"/>
      <w:pPr>
        <w:ind w:left="1530" w:hanging="360"/>
      </w:pPr>
      <w:rPr>
        <w:rFonts w:ascii="Trebuchet MS" w:eastAsia="Trebuchet MS" w:hAnsi="Trebuchet MS" w:cs="Trebuchet MS" w:hint="default"/>
        <w:b w:val="0"/>
        <w:spacing w:val="-1"/>
        <w:w w:val="100"/>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E607F4B"/>
    <w:multiLevelType w:val="hybridMultilevel"/>
    <w:tmpl w:val="3600E93A"/>
    <w:lvl w:ilvl="0" w:tplc="E3245AAA">
      <w:start w:val="1"/>
      <w:numFmt w:val="lowerLetter"/>
      <w:lvlText w:val="%1."/>
      <w:lvlJc w:val="left"/>
      <w:pPr>
        <w:ind w:left="1990" w:hanging="360"/>
      </w:pPr>
      <w:rPr>
        <w:rFonts w:ascii="Trebuchet MS" w:eastAsia="Trebuchet MS" w:hAnsi="Trebuchet MS" w:cs="Trebuchet MS" w:hint="default"/>
        <w:w w:val="100"/>
        <w:sz w:val="20"/>
        <w:szCs w:val="20"/>
      </w:r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5" w15:restartNumberingAfterBreak="0">
    <w:nsid w:val="26E900C5"/>
    <w:multiLevelType w:val="hybridMultilevel"/>
    <w:tmpl w:val="AF76E06E"/>
    <w:lvl w:ilvl="0" w:tplc="251642DE">
      <w:start w:val="1"/>
      <w:numFmt w:val="upperLetter"/>
      <w:lvlText w:val="%1."/>
      <w:lvlJc w:val="left"/>
      <w:pPr>
        <w:ind w:left="459" w:hanging="360"/>
      </w:pPr>
      <w:rPr>
        <w:rFonts w:ascii="Trebuchet MS" w:eastAsia="Trebuchet MS" w:hAnsi="Trebuchet MS" w:cs="Trebuchet MS" w:hint="default"/>
        <w:b/>
        <w:bCs/>
        <w:spacing w:val="-1"/>
        <w:w w:val="99"/>
        <w:sz w:val="24"/>
        <w:szCs w:val="24"/>
      </w:rPr>
    </w:lvl>
    <w:lvl w:ilvl="1" w:tplc="94B2FE46">
      <w:start w:val="1"/>
      <w:numFmt w:val="decimal"/>
      <w:lvlText w:val="%2."/>
      <w:lvlJc w:val="left"/>
      <w:pPr>
        <w:ind w:left="910" w:hanging="450"/>
      </w:pPr>
      <w:rPr>
        <w:rFonts w:ascii="Trebuchet MS" w:eastAsia="Trebuchet MS" w:hAnsi="Trebuchet MS" w:cs="Trebuchet MS" w:hint="default"/>
        <w:b/>
        <w:bCs/>
        <w:i w:val="0"/>
        <w:spacing w:val="-1"/>
        <w:w w:val="100"/>
        <w:sz w:val="20"/>
        <w:szCs w:val="20"/>
      </w:rPr>
    </w:lvl>
    <w:lvl w:ilvl="2" w:tplc="E954BC60">
      <w:start w:val="1"/>
      <w:numFmt w:val="lowerLetter"/>
      <w:lvlText w:val="%3."/>
      <w:lvlJc w:val="left"/>
      <w:pPr>
        <w:ind w:left="1179" w:hanging="360"/>
      </w:pPr>
      <w:rPr>
        <w:rFonts w:ascii="Trebuchet MS" w:eastAsia="Trebuchet MS" w:hAnsi="Trebuchet MS" w:cs="Trebuchet MS" w:hint="default"/>
        <w:w w:val="100"/>
        <w:sz w:val="20"/>
        <w:szCs w:val="20"/>
      </w:rPr>
    </w:lvl>
    <w:lvl w:ilvl="3" w:tplc="4ADC2E82">
      <w:numFmt w:val="bullet"/>
      <w:lvlText w:val="o"/>
      <w:lvlJc w:val="left"/>
      <w:pPr>
        <w:ind w:left="1899" w:hanging="360"/>
      </w:pPr>
      <w:rPr>
        <w:rFonts w:ascii="Courier New" w:eastAsia="Courier New" w:hAnsi="Courier New" w:cs="Courier New" w:hint="default"/>
        <w:w w:val="100"/>
        <w:sz w:val="20"/>
        <w:szCs w:val="20"/>
      </w:rPr>
    </w:lvl>
    <w:lvl w:ilvl="4" w:tplc="785E3290">
      <w:numFmt w:val="bullet"/>
      <w:lvlText w:val="•"/>
      <w:lvlJc w:val="left"/>
      <w:pPr>
        <w:ind w:left="1900" w:hanging="360"/>
      </w:pPr>
      <w:rPr>
        <w:rFonts w:hint="default"/>
      </w:rPr>
    </w:lvl>
    <w:lvl w:ilvl="5" w:tplc="042C55C0">
      <w:numFmt w:val="bullet"/>
      <w:lvlText w:val="•"/>
      <w:lvlJc w:val="left"/>
      <w:pPr>
        <w:ind w:left="1971" w:hanging="360"/>
      </w:pPr>
      <w:rPr>
        <w:rFonts w:hint="default"/>
      </w:rPr>
    </w:lvl>
    <w:lvl w:ilvl="6" w:tplc="F6C47F48">
      <w:numFmt w:val="bullet"/>
      <w:lvlText w:val="•"/>
      <w:lvlJc w:val="left"/>
      <w:pPr>
        <w:ind w:left="2043" w:hanging="360"/>
      </w:pPr>
      <w:rPr>
        <w:rFonts w:hint="default"/>
      </w:rPr>
    </w:lvl>
    <w:lvl w:ilvl="7" w:tplc="5738981C">
      <w:numFmt w:val="bullet"/>
      <w:lvlText w:val="•"/>
      <w:lvlJc w:val="left"/>
      <w:pPr>
        <w:ind w:left="2115" w:hanging="360"/>
      </w:pPr>
      <w:rPr>
        <w:rFonts w:hint="default"/>
      </w:rPr>
    </w:lvl>
    <w:lvl w:ilvl="8" w:tplc="DD86F4D4">
      <w:numFmt w:val="bullet"/>
      <w:lvlText w:val="•"/>
      <w:lvlJc w:val="left"/>
      <w:pPr>
        <w:ind w:left="2187" w:hanging="360"/>
      </w:pPr>
      <w:rPr>
        <w:rFonts w:hint="default"/>
      </w:rPr>
    </w:lvl>
  </w:abstractNum>
  <w:abstractNum w:abstractNumId="6" w15:restartNumberingAfterBreak="0">
    <w:nsid w:val="2C18490D"/>
    <w:multiLevelType w:val="hybridMultilevel"/>
    <w:tmpl w:val="62BE76B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30902E86"/>
    <w:multiLevelType w:val="hybridMultilevel"/>
    <w:tmpl w:val="8084F080"/>
    <w:lvl w:ilvl="0" w:tplc="86803D0C">
      <w:start w:val="1"/>
      <w:numFmt w:val="upperLetter"/>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8" w15:restartNumberingAfterBreak="0">
    <w:nsid w:val="31AE2AF0"/>
    <w:multiLevelType w:val="hybridMultilevel"/>
    <w:tmpl w:val="270C66F0"/>
    <w:lvl w:ilvl="0" w:tplc="0409000F">
      <w:start w:val="1"/>
      <w:numFmt w:val="decimal"/>
      <w:lvlText w:val="%1."/>
      <w:lvlJc w:val="left"/>
      <w:pPr>
        <w:ind w:left="820" w:hanging="360"/>
      </w:pPr>
      <w:rPr>
        <w:rFonts w:hint="default"/>
        <w:b/>
        <w:bCs/>
        <w:w w:val="100"/>
        <w:sz w:val="20"/>
        <w:szCs w:val="20"/>
      </w:rPr>
    </w:lvl>
    <w:lvl w:ilvl="1" w:tplc="905A5D80">
      <w:start w:val="1"/>
      <w:numFmt w:val="lowerLetter"/>
      <w:lvlText w:val="%2."/>
      <w:lvlJc w:val="left"/>
      <w:pPr>
        <w:ind w:left="1350" w:hanging="360"/>
      </w:pPr>
      <w:rPr>
        <w:rFonts w:ascii="Trebuchet MS" w:eastAsia="Trebuchet MS" w:hAnsi="Trebuchet MS" w:cs="Trebuchet MS" w:hint="default"/>
        <w:b w:val="0"/>
        <w:spacing w:val="-1"/>
        <w:w w:val="100"/>
        <w:sz w:val="20"/>
        <w:szCs w:val="20"/>
      </w:rPr>
    </w:lvl>
    <w:lvl w:ilvl="2" w:tplc="0D4095B0">
      <w:numFmt w:val="bullet"/>
      <w:lvlText w:val="o"/>
      <w:lvlJc w:val="left"/>
      <w:pPr>
        <w:ind w:left="1899" w:hanging="360"/>
      </w:pPr>
      <w:rPr>
        <w:rFonts w:ascii="Courier New" w:eastAsia="Courier New" w:hAnsi="Courier New" w:cs="Courier New" w:hint="default"/>
        <w:w w:val="100"/>
        <w:sz w:val="20"/>
        <w:szCs w:val="20"/>
      </w:rPr>
    </w:lvl>
    <w:lvl w:ilvl="3" w:tplc="06CE77D8">
      <w:numFmt w:val="bullet"/>
      <w:lvlText w:val="•"/>
      <w:lvlJc w:val="left"/>
      <w:pPr>
        <w:ind w:left="2767" w:hanging="360"/>
      </w:pPr>
      <w:rPr>
        <w:rFonts w:hint="default"/>
      </w:rPr>
    </w:lvl>
    <w:lvl w:ilvl="4" w:tplc="0052BF3E">
      <w:numFmt w:val="bullet"/>
      <w:lvlText w:val="•"/>
      <w:lvlJc w:val="left"/>
      <w:pPr>
        <w:ind w:left="3635" w:hanging="360"/>
      </w:pPr>
      <w:rPr>
        <w:rFonts w:hint="default"/>
      </w:rPr>
    </w:lvl>
    <w:lvl w:ilvl="5" w:tplc="4B568CCC">
      <w:numFmt w:val="bullet"/>
      <w:lvlText w:val="•"/>
      <w:lvlJc w:val="left"/>
      <w:pPr>
        <w:ind w:left="4502" w:hanging="360"/>
      </w:pPr>
      <w:rPr>
        <w:rFonts w:hint="default"/>
      </w:rPr>
    </w:lvl>
    <w:lvl w:ilvl="6" w:tplc="F2EE518A">
      <w:numFmt w:val="bullet"/>
      <w:lvlText w:val="•"/>
      <w:lvlJc w:val="left"/>
      <w:pPr>
        <w:ind w:left="5370" w:hanging="360"/>
      </w:pPr>
      <w:rPr>
        <w:rFonts w:hint="default"/>
      </w:rPr>
    </w:lvl>
    <w:lvl w:ilvl="7" w:tplc="69FC6E10">
      <w:numFmt w:val="bullet"/>
      <w:lvlText w:val="•"/>
      <w:lvlJc w:val="left"/>
      <w:pPr>
        <w:ind w:left="6237" w:hanging="360"/>
      </w:pPr>
      <w:rPr>
        <w:rFonts w:hint="default"/>
      </w:rPr>
    </w:lvl>
    <w:lvl w:ilvl="8" w:tplc="FB407912">
      <w:numFmt w:val="bullet"/>
      <w:lvlText w:val="•"/>
      <w:lvlJc w:val="left"/>
      <w:pPr>
        <w:ind w:left="7105" w:hanging="360"/>
      </w:pPr>
      <w:rPr>
        <w:rFonts w:hint="default"/>
      </w:rPr>
    </w:lvl>
  </w:abstractNum>
  <w:abstractNum w:abstractNumId="9" w15:restartNumberingAfterBreak="0">
    <w:nsid w:val="33034179"/>
    <w:multiLevelType w:val="hybridMultilevel"/>
    <w:tmpl w:val="BBAEAEC6"/>
    <w:lvl w:ilvl="0" w:tplc="AA22474C">
      <w:numFmt w:val="bullet"/>
      <w:lvlText w:val="•"/>
      <w:lvlJc w:val="left"/>
      <w:pPr>
        <w:ind w:left="820" w:hanging="360"/>
      </w:pPr>
      <w:rPr>
        <w:rFonts w:ascii="Trebuchet MS" w:eastAsia="Trebuchet MS" w:hAnsi="Trebuchet MS" w:cs="Trebuchet M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3C549D5"/>
    <w:multiLevelType w:val="hybridMultilevel"/>
    <w:tmpl w:val="5A68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4505"/>
    <w:multiLevelType w:val="hybridMultilevel"/>
    <w:tmpl w:val="79C04152"/>
    <w:lvl w:ilvl="0" w:tplc="905A5D80">
      <w:start w:val="1"/>
      <w:numFmt w:val="lowerLetter"/>
      <w:lvlText w:val="%1."/>
      <w:lvlJc w:val="left"/>
      <w:pPr>
        <w:ind w:left="1990" w:hanging="360"/>
      </w:pPr>
      <w:rPr>
        <w:rFonts w:ascii="Trebuchet MS" w:eastAsia="Trebuchet MS" w:hAnsi="Trebuchet MS" w:cs="Trebuchet MS" w:hint="default"/>
        <w:b w:val="0"/>
        <w:spacing w:val="-1"/>
        <w:w w:val="100"/>
        <w:sz w:val="20"/>
        <w:szCs w:val="20"/>
      </w:r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12" w15:restartNumberingAfterBreak="0">
    <w:nsid w:val="38F971CB"/>
    <w:multiLevelType w:val="hybridMultilevel"/>
    <w:tmpl w:val="8850DDCA"/>
    <w:lvl w:ilvl="0" w:tplc="445E48FA">
      <w:numFmt w:val="bullet"/>
      <w:lvlText w:val="o"/>
      <w:lvlJc w:val="left"/>
      <w:pPr>
        <w:ind w:left="1540" w:hanging="360"/>
      </w:pPr>
      <w:rPr>
        <w:rFonts w:ascii="Courier New" w:eastAsia="Courier New" w:hAnsi="Courier New" w:cs="Courier New" w:hint="default"/>
        <w:w w:val="99"/>
        <w:sz w:val="22"/>
        <w:szCs w:val="22"/>
      </w:rPr>
    </w:lvl>
    <w:lvl w:ilvl="1" w:tplc="EAC8BD32">
      <w:numFmt w:val="bullet"/>
      <w:lvlText w:val="•"/>
      <w:lvlJc w:val="left"/>
      <w:pPr>
        <w:ind w:left="2270" w:hanging="360"/>
      </w:pPr>
      <w:rPr>
        <w:rFonts w:hint="default"/>
      </w:rPr>
    </w:lvl>
    <w:lvl w:ilvl="2" w:tplc="96522AFC">
      <w:numFmt w:val="bullet"/>
      <w:lvlText w:val="•"/>
      <w:lvlJc w:val="left"/>
      <w:pPr>
        <w:ind w:left="3000" w:hanging="360"/>
      </w:pPr>
      <w:rPr>
        <w:rFonts w:hint="default"/>
      </w:rPr>
    </w:lvl>
    <w:lvl w:ilvl="3" w:tplc="810A046A">
      <w:numFmt w:val="bullet"/>
      <w:lvlText w:val="•"/>
      <w:lvlJc w:val="left"/>
      <w:pPr>
        <w:ind w:left="3730" w:hanging="360"/>
      </w:pPr>
      <w:rPr>
        <w:rFonts w:hint="default"/>
      </w:rPr>
    </w:lvl>
    <w:lvl w:ilvl="4" w:tplc="C74E7B0C">
      <w:numFmt w:val="bullet"/>
      <w:lvlText w:val="•"/>
      <w:lvlJc w:val="left"/>
      <w:pPr>
        <w:ind w:left="4460" w:hanging="360"/>
      </w:pPr>
      <w:rPr>
        <w:rFonts w:hint="default"/>
      </w:rPr>
    </w:lvl>
    <w:lvl w:ilvl="5" w:tplc="158278A0">
      <w:numFmt w:val="bullet"/>
      <w:lvlText w:val="•"/>
      <w:lvlJc w:val="left"/>
      <w:pPr>
        <w:ind w:left="5190" w:hanging="360"/>
      </w:pPr>
      <w:rPr>
        <w:rFonts w:hint="default"/>
      </w:rPr>
    </w:lvl>
    <w:lvl w:ilvl="6" w:tplc="04162AD0">
      <w:numFmt w:val="bullet"/>
      <w:lvlText w:val="•"/>
      <w:lvlJc w:val="left"/>
      <w:pPr>
        <w:ind w:left="5920" w:hanging="360"/>
      </w:pPr>
      <w:rPr>
        <w:rFonts w:hint="default"/>
      </w:rPr>
    </w:lvl>
    <w:lvl w:ilvl="7" w:tplc="DB560F74">
      <w:numFmt w:val="bullet"/>
      <w:lvlText w:val="•"/>
      <w:lvlJc w:val="left"/>
      <w:pPr>
        <w:ind w:left="6650" w:hanging="360"/>
      </w:pPr>
      <w:rPr>
        <w:rFonts w:hint="default"/>
      </w:rPr>
    </w:lvl>
    <w:lvl w:ilvl="8" w:tplc="36A233EE">
      <w:numFmt w:val="bullet"/>
      <w:lvlText w:val="•"/>
      <w:lvlJc w:val="left"/>
      <w:pPr>
        <w:ind w:left="7380" w:hanging="360"/>
      </w:pPr>
      <w:rPr>
        <w:rFonts w:hint="default"/>
      </w:rPr>
    </w:lvl>
  </w:abstractNum>
  <w:abstractNum w:abstractNumId="13" w15:restartNumberingAfterBreak="0">
    <w:nsid w:val="40885B02"/>
    <w:multiLevelType w:val="hybridMultilevel"/>
    <w:tmpl w:val="27569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160ABF"/>
    <w:multiLevelType w:val="hybridMultilevel"/>
    <w:tmpl w:val="D6ECA522"/>
    <w:lvl w:ilvl="0" w:tplc="B734C75C">
      <w:start w:val="1"/>
      <w:numFmt w:val="decimal"/>
      <w:lvlText w:val="%1."/>
      <w:lvlJc w:val="left"/>
      <w:pPr>
        <w:ind w:left="2259" w:hanging="360"/>
      </w:pPr>
      <w:rPr>
        <w:rFonts w:ascii="Trebuchet MS" w:eastAsia="Trebuchet MS" w:hAnsi="Trebuchet MS" w:cs="Trebuchet MS" w:hint="default"/>
        <w:w w:val="100"/>
        <w:sz w:val="20"/>
        <w:szCs w:val="20"/>
      </w:rPr>
    </w:lvl>
    <w:lvl w:ilvl="1" w:tplc="B2F25AA2">
      <w:numFmt w:val="bullet"/>
      <w:lvlText w:val="•"/>
      <w:lvlJc w:val="left"/>
      <w:pPr>
        <w:ind w:left="2918" w:hanging="360"/>
      </w:pPr>
      <w:rPr>
        <w:rFonts w:hint="default"/>
      </w:rPr>
    </w:lvl>
    <w:lvl w:ilvl="2" w:tplc="7A302208">
      <w:numFmt w:val="bullet"/>
      <w:lvlText w:val="•"/>
      <w:lvlJc w:val="left"/>
      <w:pPr>
        <w:ind w:left="3576" w:hanging="360"/>
      </w:pPr>
      <w:rPr>
        <w:rFonts w:hint="default"/>
      </w:rPr>
    </w:lvl>
    <w:lvl w:ilvl="3" w:tplc="0A26AC6E">
      <w:numFmt w:val="bullet"/>
      <w:lvlText w:val="•"/>
      <w:lvlJc w:val="left"/>
      <w:pPr>
        <w:ind w:left="4234" w:hanging="360"/>
      </w:pPr>
      <w:rPr>
        <w:rFonts w:hint="default"/>
      </w:rPr>
    </w:lvl>
    <w:lvl w:ilvl="4" w:tplc="AE64AF98">
      <w:numFmt w:val="bullet"/>
      <w:lvlText w:val="•"/>
      <w:lvlJc w:val="left"/>
      <w:pPr>
        <w:ind w:left="4892" w:hanging="360"/>
      </w:pPr>
      <w:rPr>
        <w:rFonts w:hint="default"/>
      </w:rPr>
    </w:lvl>
    <w:lvl w:ilvl="5" w:tplc="F508D3F0">
      <w:numFmt w:val="bullet"/>
      <w:lvlText w:val="•"/>
      <w:lvlJc w:val="left"/>
      <w:pPr>
        <w:ind w:left="5550" w:hanging="360"/>
      </w:pPr>
      <w:rPr>
        <w:rFonts w:hint="default"/>
      </w:rPr>
    </w:lvl>
    <w:lvl w:ilvl="6" w:tplc="54BAD930">
      <w:numFmt w:val="bullet"/>
      <w:lvlText w:val="•"/>
      <w:lvlJc w:val="left"/>
      <w:pPr>
        <w:ind w:left="6208" w:hanging="360"/>
      </w:pPr>
      <w:rPr>
        <w:rFonts w:hint="default"/>
      </w:rPr>
    </w:lvl>
    <w:lvl w:ilvl="7" w:tplc="C83A15B2">
      <w:numFmt w:val="bullet"/>
      <w:lvlText w:val="•"/>
      <w:lvlJc w:val="left"/>
      <w:pPr>
        <w:ind w:left="6866" w:hanging="360"/>
      </w:pPr>
      <w:rPr>
        <w:rFonts w:hint="default"/>
      </w:rPr>
    </w:lvl>
    <w:lvl w:ilvl="8" w:tplc="AD3EA798">
      <w:numFmt w:val="bullet"/>
      <w:lvlText w:val="•"/>
      <w:lvlJc w:val="left"/>
      <w:pPr>
        <w:ind w:left="7524" w:hanging="360"/>
      </w:pPr>
      <w:rPr>
        <w:rFonts w:hint="default"/>
      </w:rPr>
    </w:lvl>
  </w:abstractNum>
  <w:abstractNum w:abstractNumId="15" w15:restartNumberingAfterBreak="0">
    <w:nsid w:val="49BC6DAB"/>
    <w:multiLevelType w:val="hybridMultilevel"/>
    <w:tmpl w:val="135CFC48"/>
    <w:lvl w:ilvl="0" w:tplc="2196DC5A">
      <w:start w:val="1"/>
      <w:numFmt w:val="decimal"/>
      <w:lvlText w:val="%1."/>
      <w:lvlJc w:val="left"/>
      <w:pPr>
        <w:ind w:left="819" w:hanging="360"/>
      </w:pPr>
      <w:rPr>
        <w:rFonts w:hint="default"/>
        <w:i w:val="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15:restartNumberingAfterBreak="0">
    <w:nsid w:val="4CD602E8"/>
    <w:multiLevelType w:val="hybridMultilevel"/>
    <w:tmpl w:val="E53A9C84"/>
    <w:lvl w:ilvl="0" w:tplc="E3245AAA">
      <w:start w:val="1"/>
      <w:numFmt w:val="lowerLetter"/>
      <w:lvlText w:val="%1."/>
      <w:lvlJc w:val="left"/>
      <w:pPr>
        <w:ind w:left="1179" w:hanging="360"/>
      </w:pPr>
      <w:rPr>
        <w:rFonts w:ascii="Trebuchet MS" w:eastAsia="Trebuchet MS" w:hAnsi="Trebuchet MS" w:cs="Trebuchet MS" w:hint="default"/>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238F8"/>
    <w:multiLevelType w:val="hybridMultilevel"/>
    <w:tmpl w:val="61BE131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8" w15:restartNumberingAfterBreak="0">
    <w:nsid w:val="55D64958"/>
    <w:multiLevelType w:val="hybridMultilevel"/>
    <w:tmpl w:val="EF2C29F4"/>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19" w15:restartNumberingAfterBreak="0">
    <w:nsid w:val="578A1F0A"/>
    <w:multiLevelType w:val="hybridMultilevel"/>
    <w:tmpl w:val="DD3AAD4C"/>
    <w:lvl w:ilvl="0" w:tplc="5344A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C95992"/>
    <w:multiLevelType w:val="hybridMultilevel"/>
    <w:tmpl w:val="4F888FD2"/>
    <w:lvl w:ilvl="0" w:tplc="76FAECC8">
      <w:start w:val="4"/>
      <w:numFmt w:val="upperLetter"/>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1" w15:restartNumberingAfterBreak="0">
    <w:nsid w:val="61AE2698"/>
    <w:multiLevelType w:val="hybridMultilevel"/>
    <w:tmpl w:val="890615C6"/>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64DD4756"/>
    <w:multiLevelType w:val="hybridMultilevel"/>
    <w:tmpl w:val="E68E9380"/>
    <w:lvl w:ilvl="0" w:tplc="30188D6C">
      <w:numFmt w:val="bullet"/>
      <w:lvlText w:val=""/>
      <w:lvlJc w:val="left"/>
      <w:pPr>
        <w:ind w:left="1179" w:hanging="360"/>
      </w:pPr>
      <w:rPr>
        <w:rFonts w:ascii="Symbol" w:eastAsia="Symbol" w:hAnsi="Symbol" w:cs="Symbol" w:hint="default"/>
        <w:w w:val="100"/>
        <w:sz w:val="20"/>
        <w:szCs w:val="20"/>
      </w:rPr>
    </w:lvl>
    <w:lvl w:ilvl="1" w:tplc="E0D6F4C8">
      <w:numFmt w:val="bullet"/>
      <w:lvlText w:val="•"/>
      <w:lvlJc w:val="left"/>
      <w:pPr>
        <w:ind w:left="1946" w:hanging="360"/>
      </w:pPr>
      <w:rPr>
        <w:rFonts w:hint="default"/>
      </w:rPr>
    </w:lvl>
    <w:lvl w:ilvl="2" w:tplc="42C25EB0">
      <w:numFmt w:val="bullet"/>
      <w:lvlText w:val="•"/>
      <w:lvlJc w:val="left"/>
      <w:pPr>
        <w:ind w:left="2712" w:hanging="360"/>
      </w:pPr>
      <w:rPr>
        <w:rFonts w:hint="default"/>
      </w:rPr>
    </w:lvl>
    <w:lvl w:ilvl="3" w:tplc="115697E0">
      <w:numFmt w:val="bullet"/>
      <w:lvlText w:val="•"/>
      <w:lvlJc w:val="left"/>
      <w:pPr>
        <w:ind w:left="3478" w:hanging="360"/>
      </w:pPr>
      <w:rPr>
        <w:rFonts w:hint="default"/>
      </w:rPr>
    </w:lvl>
    <w:lvl w:ilvl="4" w:tplc="148A665C">
      <w:numFmt w:val="bullet"/>
      <w:lvlText w:val="•"/>
      <w:lvlJc w:val="left"/>
      <w:pPr>
        <w:ind w:left="4244" w:hanging="360"/>
      </w:pPr>
      <w:rPr>
        <w:rFonts w:hint="default"/>
      </w:rPr>
    </w:lvl>
    <w:lvl w:ilvl="5" w:tplc="386266AA">
      <w:numFmt w:val="bullet"/>
      <w:lvlText w:val="•"/>
      <w:lvlJc w:val="left"/>
      <w:pPr>
        <w:ind w:left="5010" w:hanging="360"/>
      </w:pPr>
      <w:rPr>
        <w:rFonts w:hint="default"/>
      </w:rPr>
    </w:lvl>
    <w:lvl w:ilvl="6" w:tplc="E4AE7166">
      <w:numFmt w:val="bullet"/>
      <w:lvlText w:val="•"/>
      <w:lvlJc w:val="left"/>
      <w:pPr>
        <w:ind w:left="5776" w:hanging="360"/>
      </w:pPr>
      <w:rPr>
        <w:rFonts w:hint="default"/>
      </w:rPr>
    </w:lvl>
    <w:lvl w:ilvl="7" w:tplc="BC243F1A">
      <w:numFmt w:val="bullet"/>
      <w:lvlText w:val="•"/>
      <w:lvlJc w:val="left"/>
      <w:pPr>
        <w:ind w:left="6542" w:hanging="360"/>
      </w:pPr>
      <w:rPr>
        <w:rFonts w:hint="default"/>
      </w:rPr>
    </w:lvl>
    <w:lvl w:ilvl="8" w:tplc="2A6852EA">
      <w:numFmt w:val="bullet"/>
      <w:lvlText w:val="•"/>
      <w:lvlJc w:val="left"/>
      <w:pPr>
        <w:ind w:left="7308" w:hanging="360"/>
      </w:pPr>
      <w:rPr>
        <w:rFonts w:hint="default"/>
      </w:rPr>
    </w:lvl>
  </w:abstractNum>
  <w:abstractNum w:abstractNumId="23" w15:restartNumberingAfterBreak="0">
    <w:nsid w:val="69B92E55"/>
    <w:multiLevelType w:val="hybridMultilevel"/>
    <w:tmpl w:val="97D2F33A"/>
    <w:lvl w:ilvl="0" w:tplc="04090015">
      <w:start w:val="5"/>
      <w:numFmt w:val="upperLetter"/>
      <w:lvlText w:val="%1."/>
      <w:lvlJc w:val="left"/>
      <w:pPr>
        <w:ind w:left="720" w:hanging="360"/>
      </w:pPr>
      <w:rPr>
        <w:rFonts w:hint="default"/>
      </w:rPr>
    </w:lvl>
    <w:lvl w:ilvl="1" w:tplc="A922031A">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04E04"/>
    <w:multiLevelType w:val="multilevel"/>
    <w:tmpl w:val="765AB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1C6E8E"/>
    <w:multiLevelType w:val="hybridMultilevel"/>
    <w:tmpl w:val="3F8ADB3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153079">
    <w:abstractNumId w:val="12"/>
  </w:num>
  <w:num w:numId="2" w16cid:durableId="2005014065">
    <w:abstractNumId w:val="14"/>
  </w:num>
  <w:num w:numId="3" w16cid:durableId="1268392051">
    <w:abstractNumId w:val="1"/>
  </w:num>
  <w:num w:numId="4" w16cid:durableId="126777238">
    <w:abstractNumId w:val="22"/>
  </w:num>
  <w:num w:numId="5" w16cid:durableId="438841468">
    <w:abstractNumId w:val="8"/>
  </w:num>
  <w:num w:numId="6" w16cid:durableId="1448548142">
    <w:abstractNumId w:val="5"/>
  </w:num>
  <w:num w:numId="7" w16cid:durableId="1665548413">
    <w:abstractNumId w:val="0"/>
  </w:num>
  <w:num w:numId="8" w16cid:durableId="487793530">
    <w:abstractNumId w:val="6"/>
  </w:num>
  <w:num w:numId="9" w16cid:durableId="1348604645">
    <w:abstractNumId w:val="9"/>
  </w:num>
  <w:num w:numId="10" w16cid:durableId="1401713070">
    <w:abstractNumId w:val="21"/>
  </w:num>
  <w:num w:numId="11" w16cid:durableId="577592168">
    <w:abstractNumId w:val="19"/>
  </w:num>
  <w:num w:numId="12" w16cid:durableId="1808937147">
    <w:abstractNumId w:val="2"/>
  </w:num>
  <w:num w:numId="13" w16cid:durableId="511070883">
    <w:abstractNumId w:val="11"/>
  </w:num>
  <w:num w:numId="14" w16cid:durableId="1212036598">
    <w:abstractNumId w:val="7"/>
  </w:num>
  <w:num w:numId="15" w16cid:durableId="398868361">
    <w:abstractNumId w:val="4"/>
  </w:num>
  <w:num w:numId="16" w16cid:durableId="1788885449">
    <w:abstractNumId w:val="10"/>
  </w:num>
  <w:num w:numId="17" w16cid:durableId="1872910147">
    <w:abstractNumId w:val="16"/>
  </w:num>
  <w:num w:numId="18" w16cid:durableId="653336090">
    <w:abstractNumId w:val="17"/>
  </w:num>
  <w:num w:numId="19" w16cid:durableId="321734919">
    <w:abstractNumId w:val="23"/>
  </w:num>
  <w:num w:numId="20" w16cid:durableId="31610819">
    <w:abstractNumId w:val="20"/>
  </w:num>
  <w:num w:numId="21" w16cid:durableId="2022006488">
    <w:abstractNumId w:val="25"/>
  </w:num>
  <w:num w:numId="22" w16cid:durableId="1884898925">
    <w:abstractNumId w:val="3"/>
  </w:num>
  <w:num w:numId="23" w16cid:durableId="1992362188">
    <w:abstractNumId w:val="18"/>
  </w:num>
  <w:num w:numId="24" w16cid:durableId="1317805171">
    <w:abstractNumId w:val="15"/>
  </w:num>
  <w:num w:numId="25" w16cid:durableId="349914218">
    <w:abstractNumId w:val="24"/>
  </w:num>
  <w:num w:numId="26" w16cid:durableId="2064864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45"/>
    <w:rsid w:val="0000141E"/>
    <w:rsid w:val="00014C7D"/>
    <w:rsid w:val="00041F97"/>
    <w:rsid w:val="0004414F"/>
    <w:rsid w:val="000634C0"/>
    <w:rsid w:val="0008003D"/>
    <w:rsid w:val="000904B9"/>
    <w:rsid w:val="000A20F3"/>
    <w:rsid w:val="000C20C3"/>
    <w:rsid w:val="000C5D5B"/>
    <w:rsid w:val="000D0C39"/>
    <w:rsid w:val="000D2300"/>
    <w:rsid w:val="000D4CF2"/>
    <w:rsid w:val="000D5F63"/>
    <w:rsid w:val="000E4322"/>
    <w:rsid w:val="000F529E"/>
    <w:rsid w:val="001036E0"/>
    <w:rsid w:val="00115194"/>
    <w:rsid w:val="00123F84"/>
    <w:rsid w:val="00131C57"/>
    <w:rsid w:val="00176234"/>
    <w:rsid w:val="001A56E0"/>
    <w:rsid w:val="001B1BFF"/>
    <w:rsid w:val="002028C4"/>
    <w:rsid w:val="00203180"/>
    <w:rsid w:val="00225903"/>
    <w:rsid w:val="00225C09"/>
    <w:rsid w:val="002304F4"/>
    <w:rsid w:val="00252EBD"/>
    <w:rsid w:val="002A4B40"/>
    <w:rsid w:val="002B37DF"/>
    <w:rsid w:val="002C5584"/>
    <w:rsid w:val="002F3E39"/>
    <w:rsid w:val="003059F6"/>
    <w:rsid w:val="00327EC6"/>
    <w:rsid w:val="00374CD4"/>
    <w:rsid w:val="00376379"/>
    <w:rsid w:val="00377C5D"/>
    <w:rsid w:val="00393354"/>
    <w:rsid w:val="003C0BC0"/>
    <w:rsid w:val="003C2B24"/>
    <w:rsid w:val="003D1F1A"/>
    <w:rsid w:val="003D766D"/>
    <w:rsid w:val="003E75EA"/>
    <w:rsid w:val="003E7D81"/>
    <w:rsid w:val="00414684"/>
    <w:rsid w:val="00417C9E"/>
    <w:rsid w:val="0042048B"/>
    <w:rsid w:val="00436478"/>
    <w:rsid w:val="00445AEB"/>
    <w:rsid w:val="00445F2B"/>
    <w:rsid w:val="004676CC"/>
    <w:rsid w:val="00471AEC"/>
    <w:rsid w:val="004730DC"/>
    <w:rsid w:val="0048152B"/>
    <w:rsid w:val="0048389C"/>
    <w:rsid w:val="004B289E"/>
    <w:rsid w:val="004D7989"/>
    <w:rsid w:val="004E3E2C"/>
    <w:rsid w:val="00500F57"/>
    <w:rsid w:val="005113AF"/>
    <w:rsid w:val="0053691C"/>
    <w:rsid w:val="00543F7A"/>
    <w:rsid w:val="00544BE2"/>
    <w:rsid w:val="00545D95"/>
    <w:rsid w:val="0057349D"/>
    <w:rsid w:val="00590594"/>
    <w:rsid w:val="005A4613"/>
    <w:rsid w:val="005B614C"/>
    <w:rsid w:val="00605FD4"/>
    <w:rsid w:val="006152A5"/>
    <w:rsid w:val="00624BE6"/>
    <w:rsid w:val="00626F89"/>
    <w:rsid w:val="0062770A"/>
    <w:rsid w:val="00641C21"/>
    <w:rsid w:val="00684295"/>
    <w:rsid w:val="00691C6D"/>
    <w:rsid w:val="0070171B"/>
    <w:rsid w:val="0070533B"/>
    <w:rsid w:val="00715B28"/>
    <w:rsid w:val="00724A09"/>
    <w:rsid w:val="00724C00"/>
    <w:rsid w:val="00733279"/>
    <w:rsid w:val="007518F3"/>
    <w:rsid w:val="00755424"/>
    <w:rsid w:val="0077414B"/>
    <w:rsid w:val="00774DC9"/>
    <w:rsid w:val="007811CF"/>
    <w:rsid w:val="007830FD"/>
    <w:rsid w:val="00794D0F"/>
    <w:rsid w:val="007954D6"/>
    <w:rsid w:val="00797635"/>
    <w:rsid w:val="007B2F0F"/>
    <w:rsid w:val="007D7CB3"/>
    <w:rsid w:val="007E645F"/>
    <w:rsid w:val="007E6D2A"/>
    <w:rsid w:val="008235FD"/>
    <w:rsid w:val="00825F3E"/>
    <w:rsid w:val="00831CA8"/>
    <w:rsid w:val="00845F4E"/>
    <w:rsid w:val="0088538D"/>
    <w:rsid w:val="008B463C"/>
    <w:rsid w:val="008E0FFF"/>
    <w:rsid w:val="008F4592"/>
    <w:rsid w:val="00937F82"/>
    <w:rsid w:val="00942D85"/>
    <w:rsid w:val="009667B7"/>
    <w:rsid w:val="009A6618"/>
    <w:rsid w:val="009C2459"/>
    <w:rsid w:val="009C57DC"/>
    <w:rsid w:val="00A14AEF"/>
    <w:rsid w:val="00A24625"/>
    <w:rsid w:val="00A32885"/>
    <w:rsid w:val="00A34AFA"/>
    <w:rsid w:val="00A3529C"/>
    <w:rsid w:val="00A573E2"/>
    <w:rsid w:val="00A92FB7"/>
    <w:rsid w:val="00A97569"/>
    <w:rsid w:val="00A9776C"/>
    <w:rsid w:val="00AB0EAA"/>
    <w:rsid w:val="00AD2C69"/>
    <w:rsid w:val="00AE1F87"/>
    <w:rsid w:val="00B0755A"/>
    <w:rsid w:val="00B375AC"/>
    <w:rsid w:val="00B4660B"/>
    <w:rsid w:val="00B50C94"/>
    <w:rsid w:val="00B669CF"/>
    <w:rsid w:val="00B90CF1"/>
    <w:rsid w:val="00B924AE"/>
    <w:rsid w:val="00BD429D"/>
    <w:rsid w:val="00C11428"/>
    <w:rsid w:val="00C40DB6"/>
    <w:rsid w:val="00C4607F"/>
    <w:rsid w:val="00C567C1"/>
    <w:rsid w:val="00C60DEA"/>
    <w:rsid w:val="00C610EE"/>
    <w:rsid w:val="00C858E8"/>
    <w:rsid w:val="00C8687E"/>
    <w:rsid w:val="00C868C0"/>
    <w:rsid w:val="00C91E09"/>
    <w:rsid w:val="00CE7225"/>
    <w:rsid w:val="00CE7AB5"/>
    <w:rsid w:val="00D0673A"/>
    <w:rsid w:val="00D659B6"/>
    <w:rsid w:val="00D739A7"/>
    <w:rsid w:val="00D80ADF"/>
    <w:rsid w:val="00D8518B"/>
    <w:rsid w:val="00D95F97"/>
    <w:rsid w:val="00DA08EC"/>
    <w:rsid w:val="00DB485F"/>
    <w:rsid w:val="00DD6E8C"/>
    <w:rsid w:val="00DD7905"/>
    <w:rsid w:val="00DE5D99"/>
    <w:rsid w:val="00DE7F3B"/>
    <w:rsid w:val="00E156BA"/>
    <w:rsid w:val="00E177DA"/>
    <w:rsid w:val="00E51169"/>
    <w:rsid w:val="00EE1534"/>
    <w:rsid w:val="00F008ED"/>
    <w:rsid w:val="00F12745"/>
    <w:rsid w:val="00F15CE3"/>
    <w:rsid w:val="00F173AC"/>
    <w:rsid w:val="00F308CE"/>
    <w:rsid w:val="00F350F7"/>
    <w:rsid w:val="00F42BE2"/>
    <w:rsid w:val="00F43B0A"/>
    <w:rsid w:val="00F60CA5"/>
    <w:rsid w:val="00F660C3"/>
    <w:rsid w:val="00FA0293"/>
    <w:rsid w:val="00FC7AA3"/>
    <w:rsid w:val="00FE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E37E31"/>
  <w15:docId w15:val="{9349742A-6223-4288-8EF7-2C7E7DB3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459" w:hanging="359"/>
      <w:outlineLvl w:val="0"/>
    </w:pPr>
    <w:rPr>
      <w:b/>
      <w:bCs/>
      <w:sz w:val="24"/>
      <w:szCs w:val="24"/>
    </w:rPr>
  </w:style>
  <w:style w:type="paragraph" w:styleId="Heading2">
    <w:name w:val="heading 2"/>
    <w:basedOn w:val="Normal"/>
    <w:uiPriority w:val="1"/>
    <w:qFormat/>
    <w:pPr>
      <w:ind w:left="82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5AEB"/>
    <w:pPr>
      <w:tabs>
        <w:tab w:val="center" w:pos="4680"/>
        <w:tab w:val="right" w:pos="9360"/>
      </w:tabs>
    </w:pPr>
  </w:style>
  <w:style w:type="character" w:customStyle="1" w:styleId="HeaderChar">
    <w:name w:val="Header Char"/>
    <w:basedOn w:val="DefaultParagraphFont"/>
    <w:link w:val="Header"/>
    <w:uiPriority w:val="99"/>
    <w:rsid w:val="00445AEB"/>
    <w:rPr>
      <w:rFonts w:ascii="Trebuchet MS" w:eastAsia="Trebuchet MS" w:hAnsi="Trebuchet MS" w:cs="Trebuchet MS"/>
    </w:rPr>
  </w:style>
  <w:style w:type="paragraph" w:styleId="Footer">
    <w:name w:val="footer"/>
    <w:basedOn w:val="Normal"/>
    <w:link w:val="FooterChar"/>
    <w:uiPriority w:val="99"/>
    <w:unhideWhenUsed/>
    <w:rsid w:val="00445AEB"/>
    <w:pPr>
      <w:tabs>
        <w:tab w:val="center" w:pos="4680"/>
        <w:tab w:val="right" w:pos="9360"/>
      </w:tabs>
    </w:pPr>
  </w:style>
  <w:style w:type="character" w:customStyle="1" w:styleId="FooterChar">
    <w:name w:val="Footer Char"/>
    <w:basedOn w:val="DefaultParagraphFont"/>
    <w:link w:val="Footer"/>
    <w:uiPriority w:val="99"/>
    <w:rsid w:val="00445AEB"/>
    <w:rPr>
      <w:rFonts w:ascii="Trebuchet MS" w:eastAsia="Trebuchet MS" w:hAnsi="Trebuchet MS" w:cs="Trebuchet MS"/>
    </w:rPr>
  </w:style>
  <w:style w:type="table" w:styleId="TableGrid">
    <w:name w:val="Table Grid"/>
    <w:basedOn w:val="TableNormal"/>
    <w:uiPriority w:val="39"/>
    <w:rsid w:val="0059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279"/>
    <w:rPr>
      <w:rFonts w:ascii="Segoe UI" w:eastAsia="Trebuchet MS" w:hAnsi="Segoe UI" w:cs="Segoe UI"/>
      <w:sz w:val="18"/>
      <w:szCs w:val="18"/>
    </w:rPr>
  </w:style>
  <w:style w:type="character" w:styleId="CommentReference">
    <w:name w:val="annotation reference"/>
    <w:basedOn w:val="DefaultParagraphFont"/>
    <w:uiPriority w:val="99"/>
    <w:semiHidden/>
    <w:unhideWhenUsed/>
    <w:rsid w:val="00733279"/>
    <w:rPr>
      <w:sz w:val="16"/>
      <w:szCs w:val="16"/>
    </w:rPr>
  </w:style>
  <w:style w:type="paragraph" w:styleId="CommentText">
    <w:name w:val="annotation text"/>
    <w:basedOn w:val="Normal"/>
    <w:link w:val="CommentTextChar"/>
    <w:uiPriority w:val="99"/>
    <w:semiHidden/>
    <w:unhideWhenUsed/>
    <w:rsid w:val="00733279"/>
    <w:rPr>
      <w:sz w:val="20"/>
      <w:szCs w:val="20"/>
    </w:rPr>
  </w:style>
  <w:style w:type="character" w:customStyle="1" w:styleId="CommentTextChar">
    <w:name w:val="Comment Text Char"/>
    <w:basedOn w:val="DefaultParagraphFont"/>
    <w:link w:val="CommentText"/>
    <w:uiPriority w:val="99"/>
    <w:semiHidden/>
    <w:rsid w:val="00733279"/>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733279"/>
    <w:rPr>
      <w:b/>
      <w:bCs/>
    </w:rPr>
  </w:style>
  <w:style w:type="character" w:customStyle="1" w:styleId="CommentSubjectChar">
    <w:name w:val="Comment Subject Char"/>
    <w:basedOn w:val="CommentTextChar"/>
    <w:link w:val="CommentSubject"/>
    <w:uiPriority w:val="99"/>
    <w:semiHidden/>
    <w:rsid w:val="00733279"/>
    <w:rPr>
      <w:rFonts w:ascii="Trebuchet MS" w:eastAsia="Trebuchet MS" w:hAnsi="Trebuchet MS" w:cs="Trebuchet MS"/>
      <w:b/>
      <w:bCs/>
      <w:sz w:val="20"/>
      <w:szCs w:val="20"/>
    </w:rPr>
  </w:style>
  <w:style w:type="paragraph" w:customStyle="1" w:styleId="Default">
    <w:name w:val="Default"/>
    <w:rsid w:val="00A573E2"/>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825F3E"/>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90A3-7ED4-4645-9EF7-7FD036E6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PSC Bylaws final</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PSC Bylaws final</dc:title>
  <dc:creator>jocken</dc:creator>
  <cp:lastModifiedBy>Adam, Hillary</cp:lastModifiedBy>
  <cp:revision>5</cp:revision>
  <cp:lastPrinted>2018-01-17T16:59:00Z</cp:lastPrinted>
  <dcterms:created xsi:type="dcterms:W3CDTF">2022-03-03T22:10:00Z</dcterms:created>
  <dcterms:modified xsi:type="dcterms:W3CDTF">2022-12-28T18:50:00Z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PScript5.dll Version 5.2.2</vt:lpwstr>
  </property>
  <property fmtid="{D5CDD505-2E9C-101B-9397-08002B2CF9AE}" pid="4" name="LastSaved">
    <vt:filetime>2017-07-26T00:00:00Z</vt:filetime>
  </property>
</Properties>
</file>