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3886A" w14:textId="77777777" w:rsidR="0018517B" w:rsidRPr="0099346A" w:rsidRDefault="00926059" w:rsidP="00EA7357">
      <w:pPr>
        <w:spacing w:after="0"/>
        <w:jc w:val="center"/>
        <w:rPr>
          <w:rFonts w:ascii="Arial" w:hAnsi="Arial" w:cs="Arial"/>
          <w:sz w:val="24"/>
          <w:szCs w:val="24"/>
        </w:rPr>
      </w:pPr>
      <w:r w:rsidRPr="0099346A">
        <w:rPr>
          <w:rFonts w:ascii="Arial" w:hAnsi="Arial" w:cs="Arial"/>
          <w:b/>
          <w:sz w:val="24"/>
          <w:szCs w:val="24"/>
        </w:rPr>
        <w:t>IMPACT STATEMENT</w:t>
      </w:r>
    </w:p>
    <w:p w14:paraId="56951E47" w14:textId="77777777" w:rsidR="00240F60" w:rsidRPr="0099346A" w:rsidRDefault="00240F60" w:rsidP="0051622C">
      <w:pPr>
        <w:spacing w:after="0" w:line="240" w:lineRule="auto"/>
        <w:rPr>
          <w:rFonts w:ascii="Arial" w:hAnsi="Arial" w:cs="Arial"/>
          <w:b/>
          <w:sz w:val="24"/>
          <w:szCs w:val="24"/>
          <w:u w:val="single"/>
        </w:rPr>
      </w:pPr>
    </w:p>
    <w:p w14:paraId="5E20D8F9" w14:textId="7F550E75" w:rsidR="00664093" w:rsidRPr="00CD55D2" w:rsidRDefault="000E4EFF" w:rsidP="00664093">
      <w:pPr>
        <w:spacing w:after="0" w:line="240" w:lineRule="auto"/>
        <w:rPr>
          <w:rFonts w:ascii="Arial" w:hAnsi="Arial" w:cs="Arial"/>
          <w:sz w:val="24"/>
          <w:szCs w:val="24"/>
        </w:rPr>
      </w:pPr>
      <w:r w:rsidRPr="00CD55D2">
        <w:rPr>
          <w:rFonts w:ascii="Arial" w:hAnsi="Arial" w:cs="Arial"/>
          <w:b/>
          <w:sz w:val="24"/>
          <w:szCs w:val="24"/>
        </w:rPr>
        <w:t xml:space="preserve">Legislation title: </w:t>
      </w:r>
      <w:r w:rsidR="007A1AF3" w:rsidRPr="00CD55D2">
        <w:rPr>
          <w:rFonts w:ascii="Arial" w:hAnsi="Arial" w:cs="Arial"/>
          <w:b/>
          <w:sz w:val="24"/>
          <w:szCs w:val="24"/>
        </w:rPr>
        <w:tab/>
      </w:r>
      <w:bookmarkStart w:id="0" w:name="_GoBack"/>
      <w:r w:rsidR="001113DD">
        <w:rPr>
          <w:rFonts w:ascii="Arial" w:hAnsi="Arial" w:cs="Arial"/>
          <w:bCs/>
          <w:sz w:val="24"/>
          <w:szCs w:val="24"/>
        </w:rPr>
        <w:t>Consider a</w:t>
      </w:r>
      <w:r w:rsidR="00664093" w:rsidRPr="00CD55D2">
        <w:rPr>
          <w:rFonts w:ascii="Arial" w:hAnsi="Arial" w:cs="Arial"/>
          <w:sz w:val="24"/>
          <w:szCs w:val="24"/>
        </w:rPr>
        <w:t xml:space="preserve">ppeal by Leonard </w:t>
      </w:r>
      <w:proofErr w:type="spellStart"/>
      <w:r w:rsidR="00664093" w:rsidRPr="00CD55D2">
        <w:rPr>
          <w:rFonts w:ascii="Arial" w:hAnsi="Arial" w:cs="Arial"/>
          <w:sz w:val="24"/>
          <w:szCs w:val="24"/>
        </w:rPr>
        <w:t>Gionet</w:t>
      </w:r>
      <w:proofErr w:type="spellEnd"/>
      <w:r w:rsidR="00664093" w:rsidRPr="00CD55D2">
        <w:rPr>
          <w:rFonts w:ascii="Arial" w:hAnsi="Arial" w:cs="Arial"/>
          <w:sz w:val="24"/>
          <w:szCs w:val="24"/>
        </w:rPr>
        <w:t xml:space="preserve">, Yvonne </w:t>
      </w:r>
      <w:proofErr w:type="spellStart"/>
      <w:r w:rsidR="00664093" w:rsidRPr="00CD55D2">
        <w:rPr>
          <w:rFonts w:ascii="Arial" w:hAnsi="Arial" w:cs="Arial"/>
          <w:sz w:val="24"/>
          <w:szCs w:val="24"/>
        </w:rPr>
        <w:t>Meekcoms</w:t>
      </w:r>
      <w:proofErr w:type="spellEnd"/>
      <w:r w:rsidR="00664093" w:rsidRPr="00CD55D2">
        <w:rPr>
          <w:rFonts w:ascii="Arial" w:hAnsi="Arial" w:cs="Arial"/>
          <w:sz w:val="24"/>
          <w:szCs w:val="24"/>
        </w:rPr>
        <w:t xml:space="preserve">, and Mary Henry De </w:t>
      </w:r>
      <w:proofErr w:type="spellStart"/>
      <w:r w:rsidR="00664093" w:rsidRPr="00CD55D2">
        <w:rPr>
          <w:rFonts w:ascii="Arial" w:hAnsi="Arial" w:cs="Arial"/>
          <w:sz w:val="24"/>
          <w:szCs w:val="24"/>
        </w:rPr>
        <w:t>Tessan</w:t>
      </w:r>
      <w:proofErr w:type="spellEnd"/>
      <w:r w:rsidR="00664093">
        <w:rPr>
          <w:rFonts w:ascii="Arial" w:hAnsi="Arial" w:cs="Arial"/>
          <w:sz w:val="24"/>
          <w:szCs w:val="24"/>
        </w:rPr>
        <w:t xml:space="preserve"> represented by Carrie Richter</w:t>
      </w:r>
      <w:r w:rsidR="00664093" w:rsidRPr="00CD55D2">
        <w:rPr>
          <w:rFonts w:ascii="Arial" w:hAnsi="Arial" w:cs="Arial"/>
          <w:sz w:val="24"/>
          <w:szCs w:val="24"/>
        </w:rPr>
        <w:t xml:space="preserve">, against the Design Commission’s decision to approve, with conditions, </w:t>
      </w:r>
      <w:bookmarkStart w:id="1" w:name="_Hlk49246354"/>
      <w:r w:rsidR="00664093" w:rsidRPr="00CD55D2">
        <w:rPr>
          <w:rFonts w:ascii="Arial" w:hAnsi="Arial" w:cs="Arial"/>
          <w:sz w:val="24"/>
          <w:szCs w:val="24"/>
        </w:rPr>
        <w:t>the Alamo Manhattan 4-block development in the South Waterfront Sub-District of the Central City Plan District (</w:t>
      </w:r>
      <w:r w:rsidR="00664093">
        <w:rPr>
          <w:rFonts w:ascii="Arial" w:hAnsi="Arial" w:cs="Arial"/>
          <w:sz w:val="24"/>
          <w:szCs w:val="24"/>
        </w:rPr>
        <w:t xml:space="preserve">Hearing; </w:t>
      </w:r>
      <w:r w:rsidR="00664093" w:rsidRPr="00CD55D2">
        <w:rPr>
          <w:rFonts w:ascii="Arial" w:hAnsi="Arial" w:cs="Arial"/>
          <w:sz w:val="24"/>
          <w:szCs w:val="24"/>
        </w:rPr>
        <w:t>LU 20-102914 DZM AD GW)</w:t>
      </w:r>
      <w:bookmarkEnd w:id="1"/>
    </w:p>
    <w:bookmarkEnd w:id="0"/>
    <w:p w14:paraId="63E34A9B" w14:textId="59A9286B" w:rsidR="007A1AF3" w:rsidRPr="00CD55D2" w:rsidRDefault="007A1AF3" w:rsidP="00AC107F">
      <w:pPr>
        <w:spacing w:before="120" w:after="0" w:line="240" w:lineRule="auto"/>
        <w:rPr>
          <w:rFonts w:ascii="Arial" w:hAnsi="Arial" w:cs="Arial"/>
          <w:sz w:val="24"/>
          <w:szCs w:val="24"/>
        </w:rPr>
      </w:pPr>
      <w:r w:rsidRPr="00CD55D2">
        <w:rPr>
          <w:rFonts w:ascii="Arial" w:hAnsi="Arial" w:cs="Arial"/>
          <w:b/>
          <w:sz w:val="24"/>
          <w:szCs w:val="24"/>
        </w:rPr>
        <w:t xml:space="preserve">Contact name: </w:t>
      </w:r>
      <w:r w:rsidRPr="00CD55D2">
        <w:rPr>
          <w:rFonts w:ascii="Arial" w:hAnsi="Arial" w:cs="Arial"/>
          <w:b/>
          <w:sz w:val="24"/>
          <w:szCs w:val="24"/>
        </w:rPr>
        <w:tab/>
      </w:r>
      <w:r w:rsidR="00C7107D" w:rsidRPr="00CD55D2">
        <w:rPr>
          <w:rFonts w:ascii="Arial" w:hAnsi="Arial" w:cs="Arial"/>
          <w:bCs/>
          <w:sz w:val="24"/>
          <w:szCs w:val="24"/>
        </w:rPr>
        <w:t>Staci Monroe</w:t>
      </w:r>
      <w:r w:rsidR="00380BC6" w:rsidRPr="00CD55D2">
        <w:rPr>
          <w:rFonts w:ascii="Arial" w:hAnsi="Arial" w:cs="Arial"/>
          <w:bCs/>
          <w:sz w:val="24"/>
          <w:szCs w:val="24"/>
        </w:rPr>
        <w:t>,</w:t>
      </w:r>
      <w:r w:rsidR="00380BC6" w:rsidRPr="00CD55D2">
        <w:rPr>
          <w:rFonts w:ascii="Arial" w:hAnsi="Arial" w:cs="Arial"/>
          <w:sz w:val="24"/>
          <w:szCs w:val="24"/>
        </w:rPr>
        <w:t xml:space="preserve"> City Planner, BDS Land Use Services</w:t>
      </w:r>
    </w:p>
    <w:p w14:paraId="21B218EB" w14:textId="04048A32" w:rsidR="007A1AF3" w:rsidRPr="00CD55D2" w:rsidRDefault="007A1AF3" w:rsidP="0051622C">
      <w:pPr>
        <w:spacing w:after="0" w:line="240" w:lineRule="auto"/>
        <w:rPr>
          <w:rFonts w:ascii="Arial" w:hAnsi="Arial" w:cs="Arial"/>
          <w:sz w:val="24"/>
          <w:szCs w:val="24"/>
        </w:rPr>
      </w:pPr>
      <w:r w:rsidRPr="00CD55D2">
        <w:rPr>
          <w:rFonts w:ascii="Arial" w:hAnsi="Arial" w:cs="Arial"/>
          <w:b/>
          <w:sz w:val="24"/>
          <w:szCs w:val="24"/>
        </w:rPr>
        <w:t>Contact phone:</w:t>
      </w:r>
      <w:r w:rsidRPr="00CD55D2">
        <w:rPr>
          <w:rFonts w:ascii="Arial" w:hAnsi="Arial" w:cs="Arial"/>
          <w:sz w:val="24"/>
          <w:szCs w:val="24"/>
        </w:rPr>
        <w:t xml:space="preserve"> </w:t>
      </w:r>
      <w:r w:rsidRPr="00CD55D2">
        <w:rPr>
          <w:rFonts w:ascii="Arial" w:hAnsi="Arial" w:cs="Arial"/>
          <w:sz w:val="24"/>
          <w:szCs w:val="24"/>
        </w:rPr>
        <w:tab/>
      </w:r>
      <w:r w:rsidR="00380BC6" w:rsidRPr="00CD55D2">
        <w:rPr>
          <w:rFonts w:ascii="Arial" w:hAnsi="Arial" w:cs="Arial"/>
          <w:sz w:val="24"/>
          <w:szCs w:val="24"/>
        </w:rPr>
        <w:t>503</w:t>
      </w:r>
      <w:r w:rsidR="004B7014" w:rsidRPr="00CD55D2">
        <w:rPr>
          <w:rFonts w:ascii="Arial" w:hAnsi="Arial" w:cs="Arial"/>
          <w:sz w:val="24"/>
          <w:szCs w:val="24"/>
        </w:rPr>
        <w:t>.</w:t>
      </w:r>
      <w:r w:rsidR="00380BC6" w:rsidRPr="00CD55D2">
        <w:rPr>
          <w:rFonts w:ascii="Arial" w:hAnsi="Arial" w:cs="Arial"/>
          <w:sz w:val="24"/>
          <w:szCs w:val="24"/>
        </w:rPr>
        <w:t>823</w:t>
      </w:r>
      <w:r w:rsidR="004B7014" w:rsidRPr="00CD55D2">
        <w:rPr>
          <w:rFonts w:ascii="Arial" w:hAnsi="Arial" w:cs="Arial"/>
          <w:sz w:val="24"/>
          <w:szCs w:val="24"/>
        </w:rPr>
        <w:t>.</w:t>
      </w:r>
      <w:r w:rsidR="00C7107D" w:rsidRPr="00CD55D2">
        <w:rPr>
          <w:rFonts w:ascii="Arial" w:hAnsi="Arial" w:cs="Arial"/>
          <w:sz w:val="24"/>
          <w:szCs w:val="24"/>
        </w:rPr>
        <w:t>0624</w:t>
      </w:r>
    </w:p>
    <w:p w14:paraId="3E19A9D2" w14:textId="2F84372F" w:rsidR="00240F60" w:rsidRPr="00CD55D2" w:rsidRDefault="00AF07DB" w:rsidP="006104F1">
      <w:pPr>
        <w:spacing w:before="120" w:after="0" w:line="240" w:lineRule="auto"/>
        <w:rPr>
          <w:rFonts w:ascii="Arial" w:hAnsi="Arial" w:cs="Arial"/>
          <w:sz w:val="24"/>
          <w:szCs w:val="24"/>
        </w:rPr>
      </w:pPr>
      <w:r w:rsidRPr="00CD55D2">
        <w:rPr>
          <w:rFonts w:ascii="Arial" w:hAnsi="Arial" w:cs="Arial"/>
          <w:b/>
          <w:bCs/>
          <w:sz w:val="24"/>
          <w:szCs w:val="24"/>
        </w:rPr>
        <w:t>Presenter</w:t>
      </w:r>
      <w:r w:rsidR="54F51FBD" w:rsidRPr="00CD55D2">
        <w:rPr>
          <w:rFonts w:ascii="Arial" w:hAnsi="Arial" w:cs="Arial"/>
          <w:b/>
          <w:bCs/>
          <w:sz w:val="24"/>
          <w:szCs w:val="24"/>
        </w:rPr>
        <w:t>s</w:t>
      </w:r>
      <w:r w:rsidRPr="00CD55D2">
        <w:rPr>
          <w:rFonts w:ascii="Arial" w:hAnsi="Arial" w:cs="Arial"/>
          <w:b/>
          <w:bCs/>
          <w:sz w:val="24"/>
          <w:szCs w:val="24"/>
        </w:rPr>
        <w:t xml:space="preserve"> name</w:t>
      </w:r>
      <w:r w:rsidR="7E759921" w:rsidRPr="00CD55D2">
        <w:rPr>
          <w:rFonts w:ascii="Arial" w:hAnsi="Arial" w:cs="Arial"/>
          <w:b/>
          <w:bCs/>
          <w:sz w:val="24"/>
          <w:szCs w:val="24"/>
        </w:rPr>
        <w:t>s and contact information:</w:t>
      </w:r>
    </w:p>
    <w:p w14:paraId="2BF4A413" w14:textId="1741A048" w:rsidR="00240F60" w:rsidRPr="00CD55D2" w:rsidRDefault="00C7107D" w:rsidP="006104F1">
      <w:pPr>
        <w:pStyle w:val="ListParagraph"/>
        <w:numPr>
          <w:ilvl w:val="1"/>
          <w:numId w:val="8"/>
        </w:numPr>
        <w:spacing w:after="0" w:line="240" w:lineRule="auto"/>
        <w:ind w:left="720"/>
        <w:rPr>
          <w:rFonts w:ascii="Arial" w:eastAsia="Arial" w:hAnsi="Arial" w:cs="Arial"/>
          <w:color w:val="323130"/>
          <w:sz w:val="24"/>
          <w:szCs w:val="24"/>
        </w:rPr>
      </w:pPr>
      <w:r w:rsidRPr="00CD55D2">
        <w:rPr>
          <w:rFonts w:ascii="Arial" w:hAnsi="Arial" w:cs="Arial"/>
          <w:bCs/>
          <w:sz w:val="24"/>
          <w:szCs w:val="24"/>
        </w:rPr>
        <w:t>Staci Monroe</w:t>
      </w:r>
      <w:r w:rsidRPr="00CD55D2">
        <w:rPr>
          <w:rFonts w:ascii="Arial" w:eastAsia="Arial" w:hAnsi="Arial" w:cs="Arial"/>
          <w:color w:val="323130"/>
          <w:sz w:val="24"/>
          <w:szCs w:val="24"/>
        </w:rPr>
        <w:t xml:space="preserve"> </w:t>
      </w:r>
      <w:r w:rsidR="13B8F2DD" w:rsidRPr="00CD55D2">
        <w:rPr>
          <w:rFonts w:ascii="Arial" w:eastAsia="Arial" w:hAnsi="Arial" w:cs="Arial"/>
          <w:color w:val="323130"/>
          <w:sz w:val="24"/>
          <w:szCs w:val="24"/>
        </w:rPr>
        <w:t xml:space="preserve">(BDS </w:t>
      </w:r>
      <w:r w:rsidR="00F0318E" w:rsidRPr="00CD55D2">
        <w:rPr>
          <w:rFonts w:ascii="Arial" w:eastAsia="Arial" w:hAnsi="Arial" w:cs="Arial"/>
          <w:color w:val="323130"/>
          <w:sz w:val="24"/>
          <w:szCs w:val="24"/>
        </w:rPr>
        <w:t xml:space="preserve">Senior </w:t>
      </w:r>
      <w:r w:rsidR="13B8F2DD" w:rsidRPr="00CD55D2">
        <w:rPr>
          <w:rFonts w:ascii="Arial" w:eastAsia="Arial" w:hAnsi="Arial" w:cs="Arial"/>
          <w:color w:val="323130"/>
          <w:sz w:val="24"/>
          <w:szCs w:val="24"/>
        </w:rPr>
        <w:t xml:space="preserve">Planner): </w:t>
      </w:r>
      <w:hyperlink r:id="rId8" w:history="1">
        <w:r w:rsidRPr="00CD55D2">
          <w:rPr>
            <w:rStyle w:val="Hyperlink"/>
            <w:rFonts w:ascii="Arial" w:hAnsi="Arial" w:cs="Arial"/>
            <w:sz w:val="24"/>
            <w:szCs w:val="24"/>
          </w:rPr>
          <w:t>staci.monroe@portlandoregon.gov</w:t>
        </w:r>
      </w:hyperlink>
    </w:p>
    <w:p w14:paraId="1CA1B02C" w14:textId="3272C356" w:rsidR="00240F60" w:rsidRPr="00CD55D2" w:rsidRDefault="00F0318E" w:rsidP="006104F1">
      <w:pPr>
        <w:pStyle w:val="ListParagraph"/>
        <w:numPr>
          <w:ilvl w:val="1"/>
          <w:numId w:val="8"/>
        </w:numPr>
        <w:spacing w:after="0" w:line="240" w:lineRule="auto"/>
        <w:ind w:left="720"/>
        <w:rPr>
          <w:rFonts w:ascii="Arial" w:eastAsia="Arial" w:hAnsi="Arial" w:cs="Arial"/>
          <w:color w:val="323130"/>
          <w:sz w:val="24"/>
          <w:szCs w:val="24"/>
        </w:rPr>
      </w:pPr>
      <w:r w:rsidRPr="00CD55D2">
        <w:rPr>
          <w:rFonts w:ascii="Arial" w:eastAsia="Arial" w:hAnsi="Arial" w:cs="Arial"/>
          <w:color w:val="323130"/>
          <w:sz w:val="24"/>
          <w:szCs w:val="24"/>
        </w:rPr>
        <w:t xml:space="preserve">Morgan Steele </w:t>
      </w:r>
      <w:r w:rsidR="13B8F2DD" w:rsidRPr="00CD55D2">
        <w:rPr>
          <w:rFonts w:ascii="Arial" w:eastAsia="Arial" w:hAnsi="Arial" w:cs="Arial"/>
          <w:color w:val="323130"/>
          <w:sz w:val="24"/>
          <w:szCs w:val="24"/>
        </w:rPr>
        <w:t>(BDS</w:t>
      </w:r>
      <w:r w:rsidRPr="00CD55D2">
        <w:rPr>
          <w:rFonts w:ascii="Arial" w:eastAsia="Arial" w:hAnsi="Arial" w:cs="Arial"/>
          <w:color w:val="323130"/>
          <w:sz w:val="24"/>
          <w:szCs w:val="24"/>
        </w:rPr>
        <w:t xml:space="preserve"> </w:t>
      </w:r>
      <w:r w:rsidR="13B8F2DD" w:rsidRPr="00CD55D2">
        <w:rPr>
          <w:rFonts w:ascii="Arial" w:eastAsia="Arial" w:hAnsi="Arial" w:cs="Arial"/>
          <w:color w:val="323130"/>
          <w:sz w:val="24"/>
          <w:szCs w:val="24"/>
        </w:rPr>
        <w:t xml:space="preserve">Planner): </w:t>
      </w:r>
      <w:hyperlink r:id="rId9" w:history="1">
        <w:r w:rsidRPr="00CD55D2">
          <w:rPr>
            <w:rStyle w:val="Hyperlink"/>
            <w:rFonts w:ascii="Arial" w:eastAsia="Arial" w:hAnsi="Arial" w:cs="Arial"/>
            <w:sz w:val="24"/>
            <w:szCs w:val="24"/>
          </w:rPr>
          <w:t>Morgan Steele@portlandoregon.gov</w:t>
        </w:r>
      </w:hyperlink>
      <w:r w:rsidR="13B8F2DD" w:rsidRPr="00CD55D2">
        <w:rPr>
          <w:rFonts w:ascii="Arial" w:eastAsia="Arial" w:hAnsi="Arial" w:cs="Arial"/>
          <w:color w:val="323130"/>
          <w:sz w:val="24"/>
          <w:szCs w:val="24"/>
        </w:rPr>
        <w:t xml:space="preserve"> </w:t>
      </w:r>
    </w:p>
    <w:p w14:paraId="39312AC5" w14:textId="74B678B5" w:rsidR="00FF73F8" w:rsidRPr="00CD55D2" w:rsidRDefault="00F0318E" w:rsidP="006104F1">
      <w:pPr>
        <w:pStyle w:val="ListParagraph"/>
        <w:numPr>
          <w:ilvl w:val="1"/>
          <w:numId w:val="8"/>
        </w:numPr>
        <w:spacing w:after="0" w:line="240" w:lineRule="auto"/>
        <w:ind w:left="720"/>
        <w:rPr>
          <w:rFonts w:ascii="Arial" w:eastAsia="Arial" w:hAnsi="Arial" w:cs="Arial"/>
          <w:color w:val="323130"/>
          <w:sz w:val="24"/>
          <w:szCs w:val="24"/>
        </w:rPr>
      </w:pPr>
      <w:r w:rsidRPr="00CD55D2">
        <w:rPr>
          <w:rFonts w:ascii="Arial" w:eastAsia="Arial" w:hAnsi="Arial" w:cs="Arial"/>
          <w:color w:val="323130"/>
          <w:sz w:val="24"/>
          <w:szCs w:val="24"/>
        </w:rPr>
        <w:t xml:space="preserve">Matt </w:t>
      </w:r>
      <w:proofErr w:type="spellStart"/>
      <w:r w:rsidRPr="00CD55D2">
        <w:rPr>
          <w:rFonts w:ascii="Arial" w:eastAsia="Arial" w:hAnsi="Arial" w:cs="Arial"/>
          <w:color w:val="323130"/>
          <w:sz w:val="24"/>
          <w:szCs w:val="24"/>
        </w:rPr>
        <w:t>Segrest</w:t>
      </w:r>
      <w:proofErr w:type="spellEnd"/>
      <w:r w:rsidRPr="00CD55D2">
        <w:rPr>
          <w:rFonts w:ascii="Arial" w:eastAsia="Arial" w:hAnsi="Arial" w:cs="Arial"/>
          <w:color w:val="323130"/>
          <w:sz w:val="24"/>
          <w:szCs w:val="24"/>
        </w:rPr>
        <w:t xml:space="preserve"> </w:t>
      </w:r>
      <w:r w:rsidR="13B8F2DD" w:rsidRPr="00CD55D2">
        <w:rPr>
          <w:rFonts w:ascii="Arial" w:eastAsia="Arial" w:hAnsi="Arial" w:cs="Arial"/>
          <w:color w:val="323130"/>
          <w:sz w:val="24"/>
          <w:szCs w:val="24"/>
        </w:rPr>
        <w:t xml:space="preserve">(Applicant): </w:t>
      </w:r>
      <w:hyperlink r:id="rId10" w:history="1">
        <w:r w:rsidR="00FF73F8" w:rsidRPr="00CD55D2">
          <w:rPr>
            <w:rStyle w:val="Hyperlink"/>
            <w:rFonts w:ascii="Arial" w:eastAsia="Arial" w:hAnsi="Arial" w:cs="Arial"/>
            <w:sz w:val="24"/>
            <w:szCs w:val="24"/>
          </w:rPr>
          <w:t>matt.segrest@alamomanhattan.com</w:t>
        </w:r>
      </w:hyperlink>
    </w:p>
    <w:p w14:paraId="60D0426F" w14:textId="7933D17A" w:rsidR="00FF73F8" w:rsidRPr="00CD55D2" w:rsidRDefault="00FF73F8" w:rsidP="006104F1">
      <w:pPr>
        <w:pStyle w:val="ListParagraph"/>
        <w:numPr>
          <w:ilvl w:val="1"/>
          <w:numId w:val="8"/>
        </w:numPr>
        <w:spacing w:after="0" w:line="240" w:lineRule="auto"/>
        <w:ind w:left="720"/>
        <w:rPr>
          <w:rFonts w:ascii="Arial" w:eastAsia="Arial" w:hAnsi="Arial" w:cs="Arial"/>
          <w:color w:val="323130"/>
          <w:sz w:val="24"/>
          <w:szCs w:val="24"/>
        </w:rPr>
      </w:pPr>
      <w:r w:rsidRPr="00CD55D2">
        <w:rPr>
          <w:rFonts w:ascii="Arial" w:eastAsia="Arial" w:hAnsi="Arial" w:cs="Arial"/>
          <w:color w:val="323130"/>
          <w:sz w:val="24"/>
          <w:szCs w:val="24"/>
        </w:rPr>
        <w:t xml:space="preserve">Dana Krawczuk (Applicant’s representative): </w:t>
      </w:r>
      <w:hyperlink r:id="rId11" w:history="1">
        <w:r w:rsidRPr="00CD55D2">
          <w:rPr>
            <w:rStyle w:val="Hyperlink"/>
            <w:rFonts w:ascii="Arial" w:eastAsia="Arial" w:hAnsi="Arial" w:cs="Arial"/>
            <w:sz w:val="24"/>
            <w:szCs w:val="24"/>
          </w:rPr>
          <w:t>dana.krawczuk@stoel.com</w:t>
        </w:r>
      </w:hyperlink>
    </w:p>
    <w:p w14:paraId="1618DF94" w14:textId="29869469" w:rsidR="00240F60" w:rsidRPr="00CD55D2" w:rsidRDefault="13B8F2DD" w:rsidP="006104F1">
      <w:pPr>
        <w:pStyle w:val="ListParagraph"/>
        <w:numPr>
          <w:ilvl w:val="1"/>
          <w:numId w:val="8"/>
        </w:numPr>
        <w:spacing w:after="0" w:line="240" w:lineRule="auto"/>
        <w:ind w:left="720"/>
        <w:rPr>
          <w:rFonts w:ascii="Arial" w:eastAsia="Arial" w:hAnsi="Arial" w:cs="Arial"/>
          <w:color w:val="323130"/>
          <w:sz w:val="24"/>
          <w:szCs w:val="24"/>
        </w:rPr>
      </w:pPr>
      <w:r w:rsidRPr="00CD55D2">
        <w:rPr>
          <w:rFonts w:ascii="Arial" w:eastAsia="Arial" w:hAnsi="Arial" w:cs="Arial"/>
          <w:color w:val="323130"/>
          <w:sz w:val="24"/>
          <w:szCs w:val="24"/>
        </w:rPr>
        <w:t xml:space="preserve">Carrie Richter (Appellant’s representative): </w:t>
      </w:r>
      <w:hyperlink r:id="rId12" w:history="1">
        <w:r w:rsidR="00F0318E" w:rsidRPr="00CD55D2">
          <w:rPr>
            <w:rStyle w:val="Hyperlink"/>
            <w:rFonts w:ascii="Arial" w:eastAsia="Arial" w:hAnsi="Arial" w:cs="Arial"/>
            <w:sz w:val="24"/>
            <w:szCs w:val="24"/>
          </w:rPr>
          <w:t>crichter@batemanseidel.com</w:t>
        </w:r>
      </w:hyperlink>
      <w:r w:rsidR="00AF07DB" w:rsidRPr="00CD55D2">
        <w:rPr>
          <w:rFonts w:ascii="Arial" w:hAnsi="Arial" w:cs="Arial"/>
          <w:b/>
          <w:sz w:val="24"/>
          <w:szCs w:val="24"/>
        </w:rPr>
        <w:tab/>
      </w:r>
    </w:p>
    <w:p w14:paraId="2A98186D" w14:textId="77777777" w:rsidR="000E4EFF" w:rsidRPr="00CD55D2" w:rsidRDefault="000E4EFF" w:rsidP="006104F1">
      <w:pPr>
        <w:spacing w:before="120" w:after="0" w:line="240" w:lineRule="auto"/>
        <w:rPr>
          <w:rFonts w:ascii="Arial" w:hAnsi="Arial" w:cs="Arial"/>
          <w:b/>
          <w:sz w:val="24"/>
          <w:szCs w:val="24"/>
        </w:rPr>
      </w:pPr>
      <w:r w:rsidRPr="00CD55D2">
        <w:rPr>
          <w:rFonts w:ascii="Arial" w:hAnsi="Arial" w:cs="Arial"/>
          <w:b/>
          <w:sz w:val="24"/>
          <w:szCs w:val="24"/>
        </w:rPr>
        <w:t>Purpose of proposed legislation</w:t>
      </w:r>
      <w:r w:rsidR="00F1098A" w:rsidRPr="00CD55D2">
        <w:rPr>
          <w:rFonts w:ascii="Arial" w:hAnsi="Arial" w:cs="Arial"/>
          <w:b/>
          <w:sz w:val="24"/>
          <w:szCs w:val="24"/>
        </w:rPr>
        <w:t xml:space="preserve"> and b</w:t>
      </w:r>
      <w:r w:rsidRPr="00CD55D2">
        <w:rPr>
          <w:rFonts w:ascii="Arial" w:hAnsi="Arial" w:cs="Arial"/>
          <w:b/>
          <w:sz w:val="24"/>
          <w:szCs w:val="24"/>
        </w:rPr>
        <w:t>ackground</w:t>
      </w:r>
      <w:r w:rsidR="00F1098A" w:rsidRPr="00CD55D2">
        <w:rPr>
          <w:rFonts w:ascii="Arial" w:hAnsi="Arial" w:cs="Arial"/>
          <w:b/>
          <w:sz w:val="24"/>
          <w:szCs w:val="24"/>
        </w:rPr>
        <w:t xml:space="preserve"> information:</w:t>
      </w:r>
      <w:r w:rsidRPr="00CD55D2">
        <w:rPr>
          <w:rFonts w:ascii="Arial" w:hAnsi="Arial" w:cs="Arial"/>
          <w:b/>
          <w:sz w:val="24"/>
          <w:szCs w:val="24"/>
        </w:rPr>
        <w:t xml:space="preserve"> </w:t>
      </w:r>
    </w:p>
    <w:p w14:paraId="27EDE8F0" w14:textId="15F23EC6" w:rsidR="00B14B1A" w:rsidRPr="00CD55D2" w:rsidRDefault="00B14B1A" w:rsidP="00B14B1A">
      <w:pPr>
        <w:widowControl w:val="0"/>
        <w:rPr>
          <w:rFonts w:ascii="Arial" w:hAnsi="Arial" w:cs="Arial"/>
          <w:sz w:val="24"/>
          <w:szCs w:val="24"/>
        </w:rPr>
      </w:pPr>
      <w:r w:rsidRPr="00CD55D2">
        <w:rPr>
          <w:rFonts w:ascii="Arial" w:hAnsi="Arial" w:cs="Arial"/>
          <w:sz w:val="24"/>
          <w:szCs w:val="24"/>
        </w:rPr>
        <w:t>This is an appeal of a Type III Land Use Review decision (a quasi-judicial action). Title 33, Zoning Code Section 33.730.030</w:t>
      </w:r>
      <w:r w:rsidR="00AC107F" w:rsidRPr="00CD55D2">
        <w:rPr>
          <w:rFonts w:ascii="Arial" w:hAnsi="Arial" w:cs="Arial"/>
          <w:sz w:val="24"/>
          <w:szCs w:val="24"/>
        </w:rPr>
        <w:t xml:space="preserve"> </w:t>
      </w:r>
      <w:r w:rsidR="004B7014" w:rsidRPr="00CD55D2">
        <w:rPr>
          <w:rFonts w:ascii="Arial" w:hAnsi="Arial" w:cs="Arial"/>
          <w:sz w:val="24"/>
          <w:szCs w:val="24"/>
        </w:rPr>
        <w:t>G</w:t>
      </w:r>
      <w:r w:rsidRPr="00CD55D2">
        <w:rPr>
          <w:rFonts w:ascii="Arial" w:hAnsi="Arial" w:cs="Arial"/>
          <w:sz w:val="24"/>
          <w:szCs w:val="24"/>
        </w:rPr>
        <w:t xml:space="preserve"> provides that Type III Land Use Review decisions may be appealed to City Council. The</w:t>
      </w:r>
      <w:r w:rsidR="004B7014" w:rsidRPr="00CD55D2">
        <w:rPr>
          <w:rFonts w:ascii="Arial" w:hAnsi="Arial" w:cs="Arial"/>
          <w:sz w:val="24"/>
          <w:szCs w:val="24"/>
        </w:rPr>
        <w:t xml:space="preserve"> Design Commission </w:t>
      </w:r>
      <w:r w:rsidRPr="00CD55D2">
        <w:rPr>
          <w:rFonts w:ascii="Arial" w:hAnsi="Arial" w:cs="Arial"/>
          <w:sz w:val="24"/>
          <w:szCs w:val="24"/>
        </w:rPr>
        <w:t xml:space="preserve">decision for the proposed </w:t>
      </w:r>
      <w:r w:rsidR="004B7014" w:rsidRPr="00CD55D2">
        <w:rPr>
          <w:rFonts w:ascii="Arial" w:hAnsi="Arial" w:cs="Arial"/>
          <w:sz w:val="24"/>
          <w:szCs w:val="24"/>
        </w:rPr>
        <w:t xml:space="preserve">development </w:t>
      </w:r>
      <w:r w:rsidRPr="00CD55D2">
        <w:rPr>
          <w:rFonts w:ascii="Arial" w:hAnsi="Arial" w:cs="Arial"/>
          <w:sz w:val="24"/>
          <w:szCs w:val="24"/>
        </w:rPr>
        <w:t>(</w:t>
      </w:r>
      <w:r w:rsidR="00FF73F8" w:rsidRPr="00CD55D2">
        <w:rPr>
          <w:rFonts w:ascii="Arial" w:hAnsi="Arial" w:cs="Arial"/>
          <w:i/>
          <w:iCs/>
          <w:sz w:val="24"/>
          <w:szCs w:val="24"/>
        </w:rPr>
        <w:t>Alamo Manhattan Blocks</w:t>
      </w:r>
      <w:r w:rsidRPr="00CD55D2">
        <w:rPr>
          <w:rFonts w:ascii="Arial" w:hAnsi="Arial" w:cs="Arial"/>
          <w:sz w:val="24"/>
          <w:szCs w:val="24"/>
        </w:rPr>
        <w:t xml:space="preserve">) was appealed by the </w:t>
      </w:r>
      <w:r w:rsidR="00FF73F8" w:rsidRPr="00CD55D2">
        <w:rPr>
          <w:rFonts w:ascii="Arial" w:hAnsi="Arial" w:cs="Arial"/>
          <w:i/>
          <w:iCs/>
          <w:sz w:val="24"/>
          <w:szCs w:val="24"/>
        </w:rPr>
        <w:t xml:space="preserve">Carrie Richter representing Leonard </w:t>
      </w:r>
      <w:proofErr w:type="spellStart"/>
      <w:r w:rsidR="00FF73F8" w:rsidRPr="00CD55D2">
        <w:rPr>
          <w:rFonts w:ascii="Arial" w:hAnsi="Arial" w:cs="Arial"/>
          <w:i/>
          <w:iCs/>
          <w:sz w:val="24"/>
          <w:szCs w:val="24"/>
        </w:rPr>
        <w:t>Gionet</w:t>
      </w:r>
      <w:proofErr w:type="spellEnd"/>
      <w:r w:rsidR="00FF73F8" w:rsidRPr="00CD55D2">
        <w:rPr>
          <w:rFonts w:ascii="Arial" w:hAnsi="Arial" w:cs="Arial"/>
          <w:i/>
          <w:iCs/>
          <w:sz w:val="24"/>
          <w:szCs w:val="24"/>
        </w:rPr>
        <w:t xml:space="preserve">, Yvonne </w:t>
      </w:r>
      <w:proofErr w:type="spellStart"/>
      <w:r w:rsidR="00FF73F8" w:rsidRPr="00CD55D2">
        <w:rPr>
          <w:rFonts w:ascii="Arial" w:hAnsi="Arial" w:cs="Arial"/>
          <w:i/>
          <w:iCs/>
          <w:sz w:val="24"/>
          <w:szCs w:val="24"/>
        </w:rPr>
        <w:t>Meekcoms</w:t>
      </w:r>
      <w:proofErr w:type="spellEnd"/>
      <w:r w:rsidR="00FF73F8" w:rsidRPr="00CD55D2">
        <w:rPr>
          <w:rFonts w:ascii="Arial" w:hAnsi="Arial" w:cs="Arial"/>
          <w:i/>
          <w:iCs/>
          <w:sz w:val="24"/>
          <w:szCs w:val="24"/>
        </w:rPr>
        <w:t xml:space="preserve">, and Mary Henry De </w:t>
      </w:r>
      <w:proofErr w:type="spellStart"/>
      <w:r w:rsidR="00FF73F8" w:rsidRPr="00CD55D2">
        <w:rPr>
          <w:rFonts w:ascii="Arial" w:hAnsi="Arial" w:cs="Arial"/>
          <w:i/>
          <w:iCs/>
          <w:sz w:val="24"/>
          <w:szCs w:val="24"/>
        </w:rPr>
        <w:t>Tessan</w:t>
      </w:r>
      <w:proofErr w:type="spellEnd"/>
      <w:r w:rsidR="00FF73F8" w:rsidRPr="00CD55D2">
        <w:rPr>
          <w:rFonts w:ascii="Arial" w:hAnsi="Arial" w:cs="Arial"/>
          <w:sz w:val="24"/>
          <w:szCs w:val="24"/>
        </w:rPr>
        <w:t>.</w:t>
      </w:r>
    </w:p>
    <w:p w14:paraId="6D0E02C5" w14:textId="77777777" w:rsidR="000E4EFF" w:rsidRPr="00CD55D2" w:rsidRDefault="000E4EFF" w:rsidP="00D309BE">
      <w:pPr>
        <w:spacing w:before="240" w:after="0" w:line="240" w:lineRule="auto"/>
        <w:rPr>
          <w:rFonts w:ascii="Arial" w:hAnsi="Arial" w:cs="Arial"/>
          <w:b/>
          <w:sz w:val="24"/>
          <w:szCs w:val="24"/>
        </w:rPr>
      </w:pPr>
      <w:r w:rsidRPr="00CD55D2">
        <w:rPr>
          <w:rFonts w:ascii="Arial" w:hAnsi="Arial" w:cs="Arial"/>
          <w:b/>
          <w:sz w:val="24"/>
          <w:szCs w:val="24"/>
        </w:rPr>
        <w:t>Financial and budgetary impacts:</w:t>
      </w:r>
    </w:p>
    <w:p w14:paraId="4D8D39A0" w14:textId="77777777" w:rsidR="00AC107F" w:rsidRPr="00CD55D2" w:rsidRDefault="00AC107F" w:rsidP="00AC107F">
      <w:pPr>
        <w:widowControl w:val="0"/>
        <w:rPr>
          <w:rFonts w:ascii="Arial" w:hAnsi="Arial" w:cs="Arial"/>
          <w:sz w:val="24"/>
          <w:szCs w:val="24"/>
        </w:rPr>
      </w:pPr>
      <w:r w:rsidRPr="00CD55D2">
        <w:rPr>
          <w:rFonts w:ascii="Arial" w:hAnsi="Arial" w:cs="Arial"/>
          <w:sz w:val="24"/>
          <w:szCs w:val="24"/>
        </w:rPr>
        <w:t>This is an appeal of a Type III quasi-judicial land use review (not legislation).  The City Council decision on this matter will not have financial or budgetary impacts on the City.</w:t>
      </w:r>
    </w:p>
    <w:p w14:paraId="3DE884EB" w14:textId="10D7FD01" w:rsidR="007A1AF3" w:rsidRPr="00CD55D2" w:rsidRDefault="00AC107F" w:rsidP="00725B9D">
      <w:pPr>
        <w:widowControl w:val="0"/>
        <w:spacing w:after="0"/>
        <w:rPr>
          <w:rFonts w:ascii="Arial" w:hAnsi="Arial" w:cs="Arial"/>
          <w:sz w:val="24"/>
          <w:szCs w:val="24"/>
        </w:rPr>
      </w:pPr>
      <w:r w:rsidRPr="00CD55D2">
        <w:rPr>
          <w:rFonts w:ascii="Arial" w:hAnsi="Arial" w:cs="Arial"/>
          <w:sz w:val="24"/>
          <w:szCs w:val="24"/>
        </w:rPr>
        <w:t xml:space="preserve">Generally, Land Use Reviews are fee supported.  In this case, the appeal fee was </w:t>
      </w:r>
      <w:r w:rsidR="004B7014" w:rsidRPr="00CD55D2">
        <w:rPr>
          <w:rFonts w:ascii="Arial" w:hAnsi="Arial" w:cs="Arial"/>
          <w:sz w:val="24"/>
          <w:szCs w:val="24"/>
        </w:rPr>
        <w:t xml:space="preserve">not </w:t>
      </w:r>
      <w:r w:rsidRPr="00CD55D2">
        <w:rPr>
          <w:rFonts w:ascii="Arial" w:hAnsi="Arial" w:cs="Arial"/>
          <w:sz w:val="24"/>
          <w:szCs w:val="24"/>
        </w:rPr>
        <w:t xml:space="preserve">waived because the appellant is </w:t>
      </w:r>
      <w:r w:rsidR="004B7014" w:rsidRPr="00CD55D2">
        <w:rPr>
          <w:rFonts w:ascii="Arial" w:hAnsi="Arial" w:cs="Arial"/>
          <w:sz w:val="24"/>
          <w:szCs w:val="24"/>
        </w:rPr>
        <w:t xml:space="preserve">not </w:t>
      </w:r>
      <w:r w:rsidRPr="00CD55D2">
        <w:rPr>
          <w:rFonts w:ascii="Arial" w:hAnsi="Arial" w:cs="Arial"/>
          <w:sz w:val="24"/>
          <w:szCs w:val="24"/>
        </w:rPr>
        <w:t>a Recognized Organization as defined by 33.910. City costs associated with this appeal are for staff time to process the appeal.</w:t>
      </w:r>
    </w:p>
    <w:p w14:paraId="1C400463" w14:textId="77777777" w:rsidR="00AC107F" w:rsidRPr="00CD55D2" w:rsidRDefault="00AC107F" w:rsidP="00BA603E">
      <w:pPr>
        <w:spacing w:after="0" w:line="240" w:lineRule="auto"/>
        <w:ind w:left="360"/>
        <w:jc w:val="right"/>
        <w:rPr>
          <w:rFonts w:ascii="Arial" w:hAnsi="Arial" w:cs="Arial"/>
          <w:i/>
          <w:color w:val="1D6C91" w:themeColor="text2" w:themeShade="BF"/>
          <w:sz w:val="24"/>
          <w:szCs w:val="24"/>
        </w:rPr>
      </w:pPr>
    </w:p>
    <w:p w14:paraId="5EF51BB6" w14:textId="77777777" w:rsidR="00F1098A" w:rsidRPr="00CD55D2" w:rsidRDefault="00F1098A" w:rsidP="0051622C">
      <w:pPr>
        <w:spacing w:after="0" w:line="240" w:lineRule="auto"/>
        <w:rPr>
          <w:rFonts w:ascii="Arial" w:hAnsi="Arial" w:cs="Arial"/>
          <w:b/>
          <w:sz w:val="24"/>
          <w:szCs w:val="24"/>
        </w:rPr>
      </w:pPr>
      <w:r w:rsidRPr="00CD55D2">
        <w:rPr>
          <w:rFonts w:ascii="Arial" w:hAnsi="Arial" w:cs="Arial"/>
          <w:b/>
          <w:sz w:val="24"/>
          <w:szCs w:val="24"/>
        </w:rPr>
        <w:t>Community impacts and community involvement:</w:t>
      </w:r>
    </w:p>
    <w:p w14:paraId="7C34F579" w14:textId="77777777" w:rsidR="00627B32" w:rsidRPr="00CD55D2" w:rsidRDefault="00627B32" w:rsidP="0051622C">
      <w:pPr>
        <w:spacing w:after="0" w:line="240" w:lineRule="auto"/>
        <w:rPr>
          <w:rFonts w:ascii="Arial" w:hAnsi="Arial" w:cs="Arial"/>
          <w:sz w:val="24"/>
          <w:szCs w:val="24"/>
        </w:rPr>
      </w:pPr>
      <w:r w:rsidRPr="00CD55D2">
        <w:rPr>
          <w:rFonts w:ascii="Arial" w:hAnsi="Arial" w:cs="Arial"/>
          <w:sz w:val="24"/>
          <w:szCs w:val="24"/>
        </w:rPr>
        <w:t>The notification procedures for this Type III land use application followed the public involvement requirements contained within the Portland Zoning Code, as reviewed and adopted by the Portland City Council.</w:t>
      </w:r>
    </w:p>
    <w:p w14:paraId="16BA136D" w14:textId="77777777" w:rsidR="00627B32" w:rsidRPr="00CD55D2" w:rsidRDefault="00627B32" w:rsidP="0051622C">
      <w:pPr>
        <w:spacing w:after="0" w:line="240" w:lineRule="auto"/>
        <w:rPr>
          <w:rFonts w:ascii="Arial" w:hAnsi="Arial" w:cs="Arial"/>
          <w:sz w:val="24"/>
          <w:szCs w:val="24"/>
        </w:rPr>
      </w:pPr>
    </w:p>
    <w:p w14:paraId="7B8808CC" w14:textId="7DA012B6" w:rsidR="00627B32" w:rsidRPr="00CD55D2" w:rsidRDefault="00627B32" w:rsidP="00627B32">
      <w:pPr>
        <w:spacing w:after="0" w:line="240" w:lineRule="auto"/>
        <w:rPr>
          <w:rFonts w:ascii="Arial" w:hAnsi="Arial" w:cs="Arial"/>
          <w:sz w:val="24"/>
          <w:szCs w:val="24"/>
          <w:highlight w:val="yellow"/>
        </w:rPr>
      </w:pPr>
      <w:r w:rsidRPr="00CD55D2">
        <w:rPr>
          <w:rFonts w:ascii="Arial" w:hAnsi="Arial" w:cs="Arial"/>
          <w:sz w:val="24"/>
          <w:szCs w:val="24"/>
        </w:rPr>
        <w:t xml:space="preserve">For Type III Land Use Reviews, the Zoning Code requires public notice be mailed to recognized neighborhood and business associations that are within 1,000 feet of the site. For this site, the </w:t>
      </w:r>
      <w:r w:rsidR="00FF73F8" w:rsidRPr="00CD55D2">
        <w:rPr>
          <w:rFonts w:ascii="Arial" w:hAnsi="Arial" w:cs="Arial"/>
          <w:noProof/>
          <w:sz w:val="24"/>
          <w:szCs w:val="24"/>
        </w:rPr>
        <w:t>South Portland</w:t>
      </w:r>
      <w:r w:rsidR="007815F9" w:rsidRPr="00CD55D2">
        <w:rPr>
          <w:rFonts w:ascii="Arial" w:hAnsi="Arial" w:cs="Arial"/>
          <w:sz w:val="24"/>
          <w:szCs w:val="24"/>
        </w:rPr>
        <w:t xml:space="preserve"> Neighborhood Association, </w:t>
      </w:r>
      <w:r w:rsidR="00FF73F8" w:rsidRPr="00CD55D2">
        <w:rPr>
          <w:rFonts w:ascii="Arial" w:hAnsi="Arial" w:cs="Arial"/>
          <w:sz w:val="24"/>
          <w:szCs w:val="24"/>
        </w:rPr>
        <w:t xml:space="preserve">South Portland </w:t>
      </w:r>
      <w:r w:rsidR="007815F9" w:rsidRPr="00CD55D2">
        <w:rPr>
          <w:rFonts w:ascii="Arial" w:hAnsi="Arial" w:cs="Arial"/>
          <w:sz w:val="24"/>
          <w:szCs w:val="24"/>
        </w:rPr>
        <w:t>Business Association</w:t>
      </w:r>
      <w:r w:rsidR="00FF73F8" w:rsidRPr="00CD55D2">
        <w:rPr>
          <w:rFonts w:ascii="Arial" w:hAnsi="Arial" w:cs="Arial"/>
          <w:sz w:val="24"/>
          <w:szCs w:val="24"/>
        </w:rPr>
        <w:t>, Southwest Neighborhoods Inc. District</w:t>
      </w:r>
      <w:r w:rsidR="007815F9" w:rsidRPr="00CD55D2">
        <w:rPr>
          <w:rFonts w:ascii="Arial" w:hAnsi="Arial" w:cs="Arial"/>
          <w:sz w:val="24"/>
          <w:szCs w:val="24"/>
        </w:rPr>
        <w:t xml:space="preserve"> Coalition</w:t>
      </w:r>
      <w:r w:rsidR="00DB6085" w:rsidRPr="00CD55D2">
        <w:rPr>
          <w:rFonts w:ascii="Arial" w:hAnsi="Arial" w:cs="Arial"/>
          <w:sz w:val="24"/>
          <w:szCs w:val="24"/>
        </w:rPr>
        <w:t>, Brooklyn Action Corps, Greater Brooklyn Business Association and Southeast Uplift District Coalition</w:t>
      </w:r>
      <w:r w:rsidR="00FF73F8" w:rsidRPr="00CD55D2">
        <w:rPr>
          <w:rFonts w:ascii="Arial" w:hAnsi="Arial" w:cs="Arial"/>
          <w:sz w:val="24"/>
          <w:szCs w:val="24"/>
        </w:rPr>
        <w:t xml:space="preserve"> </w:t>
      </w:r>
      <w:r w:rsidRPr="00CD55D2">
        <w:rPr>
          <w:rFonts w:ascii="Arial" w:hAnsi="Arial" w:cs="Arial"/>
          <w:sz w:val="24"/>
          <w:szCs w:val="24"/>
        </w:rPr>
        <w:t xml:space="preserve">received notice.  In addition, all property owners within the 400 feet of the site were mailed notice of the public hearing and the site was posted with notice boards. </w:t>
      </w:r>
      <w:r w:rsidR="000F64DB" w:rsidRPr="00CD55D2">
        <w:rPr>
          <w:rFonts w:ascii="Arial" w:hAnsi="Arial" w:cs="Arial"/>
          <w:sz w:val="24"/>
          <w:szCs w:val="24"/>
        </w:rPr>
        <w:t xml:space="preserve"> </w:t>
      </w:r>
      <w:r w:rsidRPr="00CD55D2">
        <w:rPr>
          <w:rFonts w:ascii="Arial" w:hAnsi="Arial" w:cs="Arial"/>
          <w:sz w:val="24"/>
          <w:szCs w:val="24"/>
        </w:rPr>
        <w:t>City Bureaus</w:t>
      </w:r>
      <w:r w:rsidR="007815F9" w:rsidRPr="00CD55D2">
        <w:rPr>
          <w:rFonts w:ascii="Arial" w:hAnsi="Arial" w:cs="Arial"/>
          <w:sz w:val="24"/>
          <w:szCs w:val="24"/>
        </w:rPr>
        <w:t xml:space="preserve"> </w:t>
      </w:r>
      <w:r w:rsidRPr="00CD55D2">
        <w:rPr>
          <w:rFonts w:ascii="Arial" w:hAnsi="Arial" w:cs="Arial"/>
          <w:sz w:val="24"/>
          <w:szCs w:val="24"/>
        </w:rPr>
        <w:t xml:space="preserve">were also mailed notice. Interested persons were encouraged to write and/or testify at the public hearing conducted before the </w:t>
      </w:r>
      <w:r w:rsidR="007815F9" w:rsidRPr="00CD55D2">
        <w:rPr>
          <w:rFonts w:ascii="Arial" w:hAnsi="Arial" w:cs="Arial"/>
          <w:sz w:val="24"/>
          <w:szCs w:val="24"/>
        </w:rPr>
        <w:t>Design Commission.</w:t>
      </w:r>
    </w:p>
    <w:p w14:paraId="2CC66FE6" w14:textId="77777777" w:rsidR="00627B32" w:rsidRPr="00CD55D2" w:rsidRDefault="00627B32" w:rsidP="0051622C">
      <w:pPr>
        <w:spacing w:after="0" w:line="240" w:lineRule="auto"/>
        <w:rPr>
          <w:rFonts w:ascii="Arial" w:hAnsi="Arial" w:cs="Arial"/>
          <w:sz w:val="24"/>
          <w:szCs w:val="24"/>
          <w:highlight w:val="yellow"/>
        </w:rPr>
      </w:pPr>
    </w:p>
    <w:p w14:paraId="53BF92B6" w14:textId="6589B66C" w:rsidR="000F64DB" w:rsidRPr="00CD55D2" w:rsidRDefault="00824822" w:rsidP="000F64DB">
      <w:pPr>
        <w:spacing w:after="0" w:line="240" w:lineRule="auto"/>
        <w:rPr>
          <w:rFonts w:ascii="Arial" w:hAnsi="Arial" w:cs="Arial"/>
          <w:sz w:val="24"/>
          <w:szCs w:val="24"/>
          <w:highlight w:val="yellow"/>
        </w:rPr>
      </w:pPr>
      <w:proofErr w:type="gramStart"/>
      <w:r w:rsidRPr="00CD55D2">
        <w:rPr>
          <w:rFonts w:ascii="Arial" w:hAnsi="Arial" w:cs="Arial"/>
          <w:sz w:val="24"/>
          <w:szCs w:val="24"/>
        </w:rPr>
        <w:lastRenderedPageBreak/>
        <w:t>A number of</w:t>
      </w:r>
      <w:proofErr w:type="gramEnd"/>
      <w:r w:rsidRPr="00CD55D2">
        <w:rPr>
          <w:rFonts w:ascii="Arial" w:hAnsi="Arial" w:cs="Arial"/>
          <w:sz w:val="24"/>
          <w:szCs w:val="24"/>
        </w:rPr>
        <w:t xml:space="preserve"> </w:t>
      </w:r>
      <w:r w:rsidR="000F64DB" w:rsidRPr="00CD55D2">
        <w:rPr>
          <w:rFonts w:ascii="Arial" w:hAnsi="Arial" w:cs="Arial"/>
          <w:sz w:val="24"/>
          <w:szCs w:val="24"/>
        </w:rPr>
        <w:t>comments</w:t>
      </w:r>
      <w:r w:rsidRPr="00CD55D2">
        <w:rPr>
          <w:rFonts w:ascii="Arial" w:hAnsi="Arial" w:cs="Arial"/>
          <w:sz w:val="24"/>
          <w:szCs w:val="24"/>
        </w:rPr>
        <w:t xml:space="preserve"> were received</w:t>
      </w:r>
      <w:r w:rsidR="000F64DB" w:rsidRPr="00CD55D2">
        <w:rPr>
          <w:rFonts w:ascii="Arial" w:hAnsi="Arial" w:cs="Arial"/>
          <w:sz w:val="24"/>
          <w:szCs w:val="24"/>
        </w:rPr>
        <w:t xml:space="preserve"> from the public, including </w:t>
      </w:r>
      <w:r w:rsidR="00866B8D" w:rsidRPr="00CD55D2">
        <w:rPr>
          <w:rFonts w:ascii="Arial" w:hAnsi="Arial" w:cs="Arial"/>
          <w:sz w:val="24"/>
          <w:szCs w:val="24"/>
        </w:rPr>
        <w:t xml:space="preserve">those affiliated with the </w:t>
      </w:r>
      <w:r w:rsidR="000F64DB" w:rsidRPr="00CD55D2">
        <w:rPr>
          <w:rFonts w:ascii="Arial" w:hAnsi="Arial" w:cs="Arial"/>
          <w:sz w:val="24"/>
          <w:szCs w:val="24"/>
        </w:rPr>
        <w:t>appellant (</w:t>
      </w:r>
      <w:r w:rsidR="00DB6085" w:rsidRPr="00CD55D2">
        <w:rPr>
          <w:rFonts w:ascii="Arial" w:hAnsi="Arial" w:cs="Arial"/>
          <w:i/>
          <w:iCs/>
          <w:sz w:val="24"/>
          <w:szCs w:val="24"/>
        </w:rPr>
        <w:t xml:space="preserve">Carrie Richter representing Leonard </w:t>
      </w:r>
      <w:proofErr w:type="spellStart"/>
      <w:r w:rsidR="00DB6085" w:rsidRPr="00CD55D2">
        <w:rPr>
          <w:rFonts w:ascii="Arial" w:hAnsi="Arial" w:cs="Arial"/>
          <w:i/>
          <w:iCs/>
          <w:sz w:val="24"/>
          <w:szCs w:val="24"/>
        </w:rPr>
        <w:t>Gionet</w:t>
      </w:r>
      <w:proofErr w:type="spellEnd"/>
      <w:r w:rsidR="00DB6085" w:rsidRPr="00CD55D2">
        <w:rPr>
          <w:rFonts w:ascii="Arial" w:hAnsi="Arial" w:cs="Arial"/>
          <w:i/>
          <w:iCs/>
          <w:sz w:val="24"/>
          <w:szCs w:val="24"/>
        </w:rPr>
        <w:t xml:space="preserve">, Yvonne </w:t>
      </w:r>
      <w:proofErr w:type="spellStart"/>
      <w:r w:rsidR="00DB6085" w:rsidRPr="00CD55D2">
        <w:rPr>
          <w:rFonts w:ascii="Arial" w:hAnsi="Arial" w:cs="Arial"/>
          <w:i/>
          <w:iCs/>
          <w:sz w:val="24"/>
          <w:szCs w:val="24"/>
        </w:rPr>
        <w:t>Meekcoms</w:t>
      </w:r>
      <w:proofErr w:type="spellEnd"/>
      <w:r w:rsidR="00DB6085" w:rsidRPr="00CD55D2">
        <w:rPr>
          <w:rFonts w:ascii="Arial" w:hAnsi="Arial" w:cs="Arial"/>
          <w:i/>
          <w:iCs/>
          <w:sz w:val="24"/>
          <w:szCs w:val="24"/>
        </w:rPr>
        <w:t>, and Mary Henry De Tessan</w:t>
      </w:r>
      <w:r w:rsidR="00DB6085" w:rsidRPr="00CD55D2">
        <w:rPr>
          <w:rFonts w:ascii="Arial" w:hAnsi="Arial" w:cs="Arial"/>
          <w:sz w:val="24"/>
          <w:szCs w:val="24"/>
        </w:rPr>
        <w:t>.</w:t>
      </w:r>
      <w:r w:rsidR="00866B8D" w:rsidRPr="00CD55D2">
        <w:rPr>
          <w:rFonts w:ascii="Arial" w:hAnsi="Arial" w:cs="Arial"/>
          <w:i/>
          <w:iCs/>
          <w:sz w:val="24"/>
          <w:szCs w:val="24"/>
        </w:rPr>
        <w:t>ID</w:t>
      </w:r>
      <w:r w:rsidR="000F64DB" w:rsidRPr="00CD55D2">
        <w:rPr>
          <w:rFonts w:ascii="Arial" w:hAnsi="Arial" w:cs="Arial"/>
          <w:sz w:val="24"/>
          <w:szCs w:val="24"/>
        </w:rPr>
        <w:t xml:space="preserve">), </w:t>
      </w:r>
      <w:r w:rsidRPr="00CD55D2">
        <w:rPr>
          <w:rFonts w:ascii="Arial" w:hAnsi="Arial" w:cs="Arial"/>
          <w:sz w:val="24"/>
          <w:szCs w:val="24"/>
        </w:rPr>
        <w:t xml:space="preserve">and </w:t>
      </w:r>
      <w:r w:rsidR="000F64DB" w:rsidRPr="00CD55D2">
        <w:rPr>
          <w:rFonts w:ascii="Arial" w:hAnsi="Arial" w:cs="Arial"/>
          <w:sz w:val="24"/>
          <w:szCs w:val="24"/>
        </w:rPr>
        <w:t xml:space="preserve">were submitted to the </w:t>
      </w:r>
      <w:r w:rsidR="007815F9" w:rsidRPr="00CD55D2">
        <w:rPr>
          <w:rFonts w:ascii="Arial" w:hAnsi="Arial" w:cs="Arial"/>
          <w:sz w:val="24"/>
          <w:szCs w:val="24"/>
        </w:rPr>
        <w:t>Design Commission</w:t>
      </w:r>
      <w:r w:rsidR="000F64DB" w:rsidRPr="00CD55D2">
        <w:rPr>
          <w:rFonts w:ascii="Arial" w:hAnsi="Arial" w:cs="Arial"/>
          <w:sz w:val="24"/>
          <w:szCs w:val="24"/>
        </w:rPr>
        <w:t xml:space="preserve"> as both oral and written testimony during the review process. </w:t>
      </w:r>
      <w:r w:rsidR="00866B8D" w:rsidRPr="00CD55D2">
        <w:rPr>
          <w:rFonts w:ascii="Arial" w:hAnsi="Arial" w:cs="Arial"/>
          <w:sz w:val="24"/>
          <w:szCs w:val="24"/>
        </w:rPr>
        <w:t xml:space="preserve">The initial hearing before the Design Commission took place on </w:t>
      </w:r>
      <w:r w:rsidR="00DB6085" w:rsidRPr="00CD55D2">
        <w:rPr>
          <w:rFonts w:ascii="Arial" w:hAnsi="Arial" w:cs="Arial"/>
          <w:sz w:val="24"/>
          <w:szCs w:val="24"/>
        </w:rPr>
        <w:t>March 5, 2020</w:t>
      </w:r>
      <w:r w:rsidR="00866B8D" w:rsidRPr="00CD55D2">
        <w:rPr>
          <w:rFonts w:ascii="Arial" w:hAnsi="Arial" w:cs="Arial"/>
          <w:sz w:val="24"/>
          <w:szCs w:val="24"/>
        </w:rPr>
        <w:t xml:space="preserve"> (staff recommended denial), second hearing was on </w:t>
      </w:r>
      <w:r w:rsidR="00DB6085" w:rsidRPr="00CD55D2">
        <w:rPr>
          <w:rFonts w:ascii="Arial" w:hAnsi="Arial" w:cs="Arial"/>
          <w:sz w:val="24"/>
          <w:szCs w:val="24"/>
        </w:rPr>
        <w:t>March 12, 2020</w:t>
      </w:r>
      <w:r w:rsidR="00866B8D" w:rsidRPr="00CD55D2">
        <w:rPr>
          <w:rFonts w:ascii="Arial" w:hAnsi="Arial" w:cs="Arial"/>
          <w:sz w:val="24"/>
          <w:szCs w:val="24"/>
        </w:rPr>
        <w:t xml:space="preserve"> (staff recommended </w:t>
      </w:r>
      <w:r w:rsidR="00DB6085" w:rsidRPr="00CD55D2">
        <w:rPr>
          <w:rFonts w:ascii="Arial" w:hAnsi="Arial" w:cs="Arial"/>
          <w:sz w:val="24"/>
          <w:szCs w:val="24"/>
        </w:rPr>
        <w:t>denial</w:t>
      </w:r>
      <w:r w:rsidR="00866B8D" w:rsidRPr="00CD55D2">
        <w:rPr>
          <w:rFonts w:ascii="Arial" w:hAnsi="Arial" w:cs="Arial"/>
          <w:sz w:val="24"/>
          <w:szCs w:val="24"/>
        </w:rPr>
        <w:t xml:space="preserve">), </w:t>
      </w:r>
      <w:r w:rsidR="00DB6085" w:rsidRPr="00CD55D2">
        <w:rPr>
          <w:rFonts w:ascii="Arial" w:hAnsi="Arial" w:cs="Arial"/>
          <w:sz w:val="24"/>
          <w:szCs w:val="24"/>
        </w:rPr>
        <w:t xml:space="preserve">third hearing on June 11, 2020 (staff recommended approval with conditions) which </w:t>
      </w:r>
      <w:r w:rsidR="00866B8D" w:rsidRPr="00CD55D2">
        <w:rPr>
          <w:rFonts w:ascii="Arial" w:hAnsi="Arial" w:cs="Arial"/>
          <w:sz w:val="24"/>
          <w:szCs w:val="24"/>
        </w:rPr>
        <w:t>at the conclusion of the hearing the record was requested to be held open (</w:t>
      </w:r>
      <w:r w:rsidR="00DB6085" w:rsidRPr="00CD55D2">
        <w:rPr>
          <w:rFonts w:ascii="Arial" w:hAnsi="Arial" w:cs="Arial"/>
          <w:sz w:val="24"/>
          <w:szCs w:val="24"/>
        </w:rPr>
        <w:t xml:space="preserve">by a representative of the Portland </w:t>
      </w:r>
      <w:proofErr w:type="spellStart"/>
      <w:r w:rsidR="00DB6085" w:rsidRPr="00CD55D2">
        <w:rPr>
          <w:rFonts w:ascii="Arial" w:hAnsi="Arial" w:cs="Arial"/>
          <w:sz w:val="24"/>
          <w:szCs w:val="24"/>
        </w:rPr>
        <w:t>Audobon</w:t>
      </w:r>
      <w:proofErr w:type="spellEnd"/>
      <w:r w:rsidR="00866B8D" w:rsidRPr="00CD55D2">
        <w:rPr>
          <w:rFonts w:ascii="Arial" w:hAnsi="Arial" w:cs="Arial"/>
          <w:sz w:val="24"/>
          <w:szCs w:val="24"/>
        </w:rPr>
        <w:t>)</w:t>
      </w:r>
      <w:r w:rsidR="00DB6085" w:rsidRPr="00CD55D2">
        <w:rPr>
          <w:rFonts w:ascii="Arial" w:hAnsi="Arial" w:cs="Arial"/>
          <w:sz w:val="24"/>
          <w:szCs w:val="24"/>
        </w:rPr>
        <w:t>. A</w:t>
      </w:r>
      <w:r w:rsidR="00866B8D" w:rsidRPr="00CD55D2">
        <w:rPr>
          <w:rFonts w:ascii="Arial" w:hAnsi="Arial" w:cs="Arial"/>
          <w:sz w:val="24"/>
          <w:szCs w:val="24"/>
        </w:rPr>
        <w:t xml:space="preserve"> closed record hearing was held on </w:t>
      </w:r>
      <w:r w:rsidR="00DB6085" w:rsidRPr="00CD55D2">
        <w:rPr>
          <w:rFonts w:ascii="Arial" w:hAnsi="Arial" w:cs="Arial"/>
          <w:sz w:val="24"/>
          <w:szCs w:val="24"/>
        </w:rPr>
        <w:t>July 2,</w:t>
      </w:r>
      <w:r w:rsidR="00866B8D" w:rsidRPr="00CD55D2">
        <w:rPr>
          <w:rFonts w:ascii="Arial" w:hAnsi="Arial" w:cs="Arial"/>
          <w:sz w:val="24"/>
          <w:szCs w:val="24"/>
        </w:rPr>
        <w:t xml:space="preserve"> 2020 for a final procedural vote by the Design Commission.</w:t>
      </w:r>
    </w:p>
    <w:p w14:paraId="776C26E2" w14:textId="77777777" w:rsidR="000F64DB" w:rsidRPr="00CD55D2" w:rsidRDefault="000F64DB" w:rsidP="000F64DB">
      <w:pPr>
        <w:spacing w:after="0" w:line="240" w:lineRule="auto"/>
        <w:rPr>
          <w:rFonts w:ascii="Arial" w:hAnsi="Arial" w:cs="Arial"/>
          <w:sz w:val="24"/>
          <w:szCs w:val="24"/>
          <w:highlight w:val="yellow"/>
        </w:rPr>
      </w:pPr>
    </w:p>
    <w:p w14:paraId="0B1C92FB" w14:textId="77777777" w:rsidR="00627B32" w:rsidRPr="00CD55D2" w:rsidRDefault="000F64DB" w:rsidP="000F64DB">
      <w:pPr>
        <w:spacing w:after="0" w:line="240" w:lineRule="auto"/>
        <w:rPr>
          <w:rFonts w:ascii="Arial" w:hAnsi="Arial" w:cs="Arial"/>
          <w:sz w:val="24"/>
          <w:szCs w:val="24"/>
        </w:rPr>
      </w:pPr>
      <w:r w:rsidRPr="00CD55D2">
        <w:rPr>
          <w:rFonts w:ascii="Arial" w:hAnsi="Arial" w:cs="Arial"/>
          <w:sz w:val="24"/>
          <w:szCs w:val="24"/>
        </w:rPr>
        <w:t>The City Council decision on this appeal will be the final decision of the City, per Zoning Code Section 33.730.030.H.9.  However, the City Council’s decision may be appealed to the Oregon Land Use Board of Appeals (LUBA).</w:t>
      </w:r>
    </w:p>
    <w:p w14:paraId="623F69CB" w14:textId="77777777" w:rsidR="00BA603E" w:rsidRPr="00CD55D2" w:rsidRDefault="00BA603E" w:rsidP="00BA603E">
      <w:pPr>
        <w:spacing w:after="0" w:line="240" w:lineRule="auto"/>
        <w:jc w:val="right"/>
        <w:rPr>
          <w:rFonts w:ascii="Arial" w:hAnsi="Arial" w:cs="Arial"/>
          <w:i/>
          <w:sz w:val="24"/>
          <w:szCs w:val="24"/>
        </w:rPr>
      </w:pPr>
    </w:p>
    <w:p w14:paraId="35CA7CF2" w14:textId="77777777" w:rsidR="00BA603E" w:rsidRPr="00CD55D2" w:rsidRDefault="00BA603E" w:rsidP="00BE1207">
      <w:pPr>
        <w:spacing w:after="0" w:line="240" w:lineRule="auto"/>
        <w:jc w:val="right"/>
        <w:rPr>
          <w:rFonts w:ascii="Arial" w:hAnsi="Arial" w:cs="Arial"/>
          <w:i/>
          <w:sz w:val="24"/>
          <w:szCs w:val="24"/>
        </w:rPr>
      </w:pPr>
    </w:p>
    <w:p w14:paraId="34280E7B" w14:textId="77777777" w:rsidR="00BA603E" w:rsidRPr="00CD55D2" w:rsidRDefault="00BA603E" w:rsidP="00BA603E">
      <w:pPr>
        <w:jc w:val="center"/>
        <w:rPr>
          <w:rFonts w:ascii="Arial" w:hAnsi="Arial" w:cs="Arial"/>
          <w:b/>
          <w:sz w:val="24"/>
          <w:szCs w:val="24"/>
        </w:rPr>
      </w:pPr>
      <w:r w:rsidRPr="00CD55D2">
        <w:rPr>
          <w:rFonts w:ascii="Arial" w:hAnsi="Arial" w:cs="Arial"/>
          <w:b/>
          <w:sz w:val="24"/>
          <w:szCs w:val="24"/>
        </w:rPr>
        <w:t>Budgetary Impact Worksheet</w:t>
      </w:r>
    </w:p>
    <w:p w14:paraId="7FC051DB" w14:textId="77777777" w:rsidR="00BA603E" w:rsidRPr="00CD55D2" w:rsidRDefault="00BA603E" w:rsidP="00BA603E">
      <w:pPr>
        <w:tabs>
          <w:tab w:val="left" w:pos="360"/>
        </w:tabs>
        <w:spacing w:after="0" w:line="240" w:lineRule="auto"/>
        <w:ind w:left="360" w:hanging="360"/>
        <w:rPr>
          <w:rFonts w:ascii="Arial" w:hAnsi="Arial" w:cs="Arial"/>
          <w:b/>
          <w:sz w:val="24"/>
          <w:szCs w:val="24"/>
        </w:rPr>
      </w:pPr>
      <w:r w:rsidRPr="00CD55D2">
        <w:rPr>
          <w:rFonts w:ascii="Arial" w:hAnsi="Arial" w:cs="Arial"/>
          <w:b/>
          <w:sz w:val="24"/>
          <w:szCs w:val="24"/>
        </w:rPr>
        <w:t xml:space="preserve">Does this action change appropriations? </w:t>
      </w:r>
    </w:p>
    <w:p w14:paraId="10114236" w14:textId="77777777" w:rsidR="00BA603E" w:rsidRPr="00CD55D2" w:rsidRDefault="00BA603E" w:rsidP="00BA603E">
      <w:pPr>
        <w:spacing w:after="0" w:line="240" w:lineRule="auto"/>
        <w:ind w:left="720"/>
        <w:rPr>
          <w:rFonts w:ascii="Arial" w:hAnsi="Arial" w:cs="Arial"/>
          <w:sz w:val="24"/>
          <w:szCs w:val="24"/>
        </w:rPr>
      </w:pPr>
      <w:r w:rsidRPr="00CD55D2">
        <w:rPr>
          <w:rFonts w:ascii="Arial" w:hAnsi="Arial" w:cs="Arial"/>
          <w:sz w:val="24"/>
          <w:szCs w:val="24"/>
        </w:rPr>
        <w:fldChar w:fldCharType="begin">
          <w:ffData>
            <w:name w:val="Check6"/>
            <w:enabled/>
            <w:calcOnExit w:val="0"/>
            <w:checkBox>
              <w:sizeAuto/>
              <w:default w:val="0"/>
            </w:checkBox>
          </w:ffData>
        </w:fldChar>
      </w:r>
      <w:r w:rsidRPr="00CD55D2">
        <w:rPr>
          <w:rFonts w:ascii="Arial" w:hAnsi="Arial" w:cs="Arial"/>
          <w:sz w:val="24"/>
          <w:szCs w:val="24"/>
        </w:rPr>
        <w:instrText xml:space="preserve"> FORMCHECKBOX </w:instrText>
      </w:r>
      <w:r w:rsidR="001113DD">
        <w:rPr>
          <w:rFonts w:ascii="Arial" w:hAnsi="Arial" w:cs="Arial"/>
          <w:sz w:val="24"/>
          <w:szCs w:val="24"/>
        </w:rPr>
      </w:r>
      <w:r w:rsidR="001113DD">
        <w:rPr>
          <w:rFonts w:ascii="Arial" w:hAnsi="Arial" w:cs="Arial"/>
          <w:sz w:val="24"/>
          <w:szCs w:val="24"/>
        </w:rPr>
        <w:fldChar w:fldCharType="separate"/>
      </w:r>
      <w:r w:rsidRPr="00CD55D2">
        <w:rPr>
          <w:rFonts w:ascii="Arial" w:hAnsi="Arial" w:cs="Arial"/>
          <w:sz w:val="24"/>
          <w:szCs w:val="24"/>
        </w:rPr>
        <w:fldChar w:fldCharType="end"/>
      </w:r>
      <w:r w:rsidRPr="00CD55D2">
        <w:rPr>
          <w:rFonts w:ascii="Arial" w:hAnsi="Arial" w:cs="Arial"/>
          <w:sz w:val="24"/>
          <w:szCs w:val="24"/>
        </w:rPr>
        <w:t xml:space="preserve"> </w:t>
      </w:r>
      <w:r w:rsidRPr="00CD55D2">
        <w:rPr>
          <w:rFonts w:ascii="Arial" w:hAnsi="Arial" w:cs="Arial"/>
          <w:b/>
          <w:sz w:val="24"/>
          <w:szCs w:val="24"/>
        </w:rPr>
        <w:t>YES</w:t>
      </w:r>
      <w:r w:rsidRPr="00CD55D2">
        <w:rPr>
          <w:rFonts w:ascii="Arial" w:hAnsi="Arial" w:cs="Arial"/>
          <w:sz w:val="24"/>
          <w:szCs w:val="24"/>
        </w:rPr>
        <w:t>: Please complete the information below.</w:t>
      </w:r>
    </w:p>
    <w:p w14:paraId="0125CAA4" w14:textId="77777777" w:rsidR="00BA603E" w:rsidRPr="00CD55D2" w:rsidRDefault="007B3321" w:rsidP="00BA603E">
      <w:pPr>
        <w:spacing w:after="0" w:line="240" w:lineRule="auto"/>
        <w:ind w:left="720"/>
        <w:rPr>
          <w:rFonts w:ascii="Arial" w:hAnsi="Arial" w:cs="Arial"/>
          <w:sz w:val="24"/>
          <w:szCs w:val="24"/>
        </w:rPr>
      </w:pPr>
      <w:r w:rsidRPr="00CD55D2">
        <w:rPr>
          <w:rFonts w:ascii="Arial" w:hAnsi="Arial" w:cs="Arial"/>
          <w:sz w:val="24"/>
          <w:szCs w:val="24"/>
        </w:rPr>
        <w:fldChar w:fldCharType="begin">
          <w:ffData>
            <w:name w:val="Check6"/>
            <w:enabled/>
            <w:calcOnExit w:val="0"/>
            <w:checkBox>
              <w:sizeAuto/>
              <w:default w:val="1"/>
            </w:checkBox>
          </w:ffData>
        </w:fldChar>
      </w:r>
      <w:bookmarkStart w:id="2" w:name="Check6"/>
      <w:r w:rsidRPr="00CD55D2">
        <w:rPr>
          <w:rFonts w:ascii="Arial" w:hAnsi="Arial" w:cs="Arial"/>
          <w:sz w:val="24"/>
          <w:szCs w:val="24"/>
        </w:rPr>
        <w:instrText xml:space="preserve"> FORMCHECKBOX </w:instrText>
      </w:r>
      <w:r w:rsidR="001113DD">
        <w:rPr>
          <w:rFonts w:ascii="Arial" w:hAnsi="Arial" w:cs="Arial"/>
          <w:sz w:val="24"/>
          <w:szCs w:val="24"/>
        </w:rPr>
      </w:r>
      <w:r w:rsidR="001113DD">
        <w:rPr>
          <w:rFonts w:ascii="Arial" w:hAnsi="Arial" w:cs="Arial"/>
          <w:sz w:val="24"/>
          <w:szCs w:val="24"/>
        </w:rPr>
        <w:fldChar w:fldCharType="separate"/>
      </w:r>
      <w:r w:rsidRPr="00CD55D2">
        <w:rPr>
          <w:rFonts w:ascii="Arial" w:hAnsi="Arial" w:cs="Arial"/>
          <w:sz w:val="24"/>
          <w:szCs w:val="24"/>
        </w:rPr>
        <w:fldChar w:fldCharType="end"/>
      </w:r>
      <w:bookmarkEnd w:id="2"/>
      <w:r w:rsidR="00BA603E" w:rsidRPr="00CD55D2">
        <w:rPr>
          <w:rFonts w:ascii="Arial" w:hAnsi="Arial" w:cs="Arial"/>
          <w:sz w:val="24"/>
          <w:szCs w:val="24"/>
        </w:rPr>
        <w:t xml:space="preserve"> </w:t>
      </w:r>
      <w:r w:rsidR="00BA603E" w:rsidRPr="00CD55D2">
        <w:rPr>
          <w:rFonts w:ascii="Arial" w:hAnsi="Arial" w:cs="Arial"/>
          <w:b/>
          <w:sz w:val="24"/>
          <w:szCs w:val="24"/>
        </w:rPr>
        <w:t>NO</w:t>
      </w:r>
      <w:r w:rsidR="00BA603E" w:rsidRPr="00CD55D2">
        <w:rPr>
          <w:rFonts w:ascii="Arial" w:hAnsi="Arial" w:cs="Arial"/>
          <w:sz w:val="24"/>
          <w:szCs w:val="24"/>
        </w:rPr>
        <w:t>: Skip this section</w:t>
      </w:r>
    </w:p>
    <w:p w14:paraId="21DBB1D3" w14:textId="77777777" w:rsidR="00BA603E" w:rsidRPr="00CD55D2" w:rsidRDefault="00BA603E" w:rsidP="00BA603E">
      <w:pPr>
        <w:ind w:left="3600" w:hanging="360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1012"/>
        <w:gridCol w:w="1683"/>
        <w:gridCol w:w="1473"/>
        <w:gridCol w:w="1277"/>
        <w:gridCol w:w="869"/>
        <w:gridCol w:w="1470"/>
        <w:gridCol w:w="1123"/>
      </w:tblGrid>
      <w:tr w:rsidR="00BA603E" w:rsidRPr="0099346A" w14:paraId="1867F549" w14:textId="77777777" w:rsidTr="003550AE">
        <w:trPr>
          <w:trHeight w:val="432"/>
        </w:trPr>
        <w:tc>
          <w:tcPr>
            <w:tcW w:w="733" w:type="dxa"/>
          </w:tcPr>
          <w:p w14:paraId="0441A0A2" w14:textId="77777777" w:rsidR="00BA603E" w:rsidRPr="0099346A" w:rsidRDefault="00BA603E" w:rsidP="003550AE">
            <w:pPr>
              <w:widowControl w:val="0"/>
              <w:jc w:val="center"/>
              <w:rPr>
                <w:rFonts w:ascii="Arial" w:hAnsi="Arial" w:cs="Arial"/>
                <w:b/>
                <w:sz w:val="24"/>
                <w:szCs w:val="24"/>
              </w:rPr>
            </w:pPr>
            <w:r w:rsidRPr="0099346A">
              <w:rPr>
                <w:rFonts w:ascii="Arial" w:hAnsi="Arial" w:cs="Arial"/>
                <w:b/>
                <w:sz w:val="24"/>
                <w:szCs w:val="24"/>
              </w:rPr>
              <w:t>Fund</w:t>
            </w:r>
          </w:p>
        </w:tc>
        <w:tc>
          <w:tcPr>
            <w:tcW w:w="1311" w:type="dxa"/>
          </w:tcPr>
          <w:p w14:paraId="64BC0F93" w14:textId="77777777" w:rsidR="00BA603E" w:rsidRPr="0099346A" w:rsidRDefault="00BA603E" w:rsidP="003550AE">
            <w:pPr>
              <w:widowControl w:val="0"/>
              <w:jc w:val="center"/>
              <w:rPr>
                <w:rFonts w:ascii="Arial" w:hAnsi="Arial" w:cs="Arial"/>
                <w:b/>
                <w:sz w:val="24"/>
                <w:szCs w:val="24"/>
              </w:rPr>
            </w:pPr>
            <w:r w:rsidRPr="0099346A">
              <w:rPr>
                <w:rFonts w:ascii="Arial" w:hAnsi="Arial" w:cs="Arial"/>
                <w:b/>
                <w:sz w:val="24"/>
                <w:szCs w:val="24"/>
              </w:rPr>
              <w:t>Fund Center</w:t>
            </w:r>
          </w:p>
        </w:tc>
        <w:tc>
          <w:tcPr>
            <w:tcW w:w="1522" w:type="dxa"/>
          </w:tcPr>
          <w:p w14:paraId="1DAE5CC0" w14:textId="77777777" w:rsidR="00BA603E" w:rsidRPr="0099346A" w:rsidRDefault="00BA603E" w:rsidP="003550AE">
            <w:pPr>
              <w:widowControl w:val="0"/>
              <w:jc w:val="center"/>
              <w:rPr>
                <w:rFonts w:ascii="Arial" w:hAnsi="Arial" w:cs="Arial"/>
                <w:b/>
                <w:sz w:val="24"/>
                <w:szCs w:val="24"/>
              </w:rPr>
            </w:pPr>
            <w:r w:rsidRPr="0099346A">
              <w:rPr>
                <w:rFonts w:ascii="Arial" w:hAnsi="Arial" w:cs="Arial"/>
                <w:b/>
                <w:sz w:val="24"/>
                <w:szCs w:val="24"/>
              </w:rPr>
              <w:t>Commitment Item</w:t>
            </w:r>
          </w:p>
        </w:tc>
        <w:tc>
          <w:tcPr>
            <w:tcW w:w="1837" w:type="dxa"/>
          </w:tcPr>
          <w:p w14:paraId="4528E18E" w14:textId="77777777" w:rsidR="00BA603E" w:rsidRPr="0099346A" w:rsidRDefault="00BA603E" w:rsidP="003550AE">
            <w:pPr>
              <w:widowControl w:val="0"/>
              <w:jc w:val="center"/>
              <w:rPr>
                <w:rFonts w:ascii="Arial" w:hAnsi="Arial" w:cs="Arial"/>
                <w:b/>
                <w:sz w:val="24"/>
                <w:szCs w:val="24"/>
              </w:rPr>
            </w:pPr>
            <w:r w:rsidRPr="0099346A">
              <w:rPr>
                <w:rFonts w:ascii="Arial" w:hAnsi="Arial" w:cs="Arial"/>
                <w:b/>
                <w:sz w:val="24"/>
                <w:szCs w:val="24"/>
              </w:rPr>
              <w:t>Functional Area</w:t>
            </w:r>
          </w:p>
        </w:tc>
        <w:tc>
          <w:tcPr>
            <w:tcW w:w="1907" w:type="dxa"/>
          </w:tcPr>
          <w:p w14:paraId="4C61DA14" w14:textId="77777777" w:rsidR="00BA603E" w:rsidRPr="0099346A" w:rsidRDefault="00BA603E" w:rsidP="003550AE">
            <w:pPr>
              <w:widowControl w:val="0"/>
              <w:jc w:val="center"/>
              <w:rPr>
                <w:rFonts w:ascii="Arial" w:hAnsi="Arial" w:cs="Arial"/>
                <w:b/>
                <w:sz w:val="24"/>
                <w:szCs w:val="24"/>
              </w:rPr>
            </w:pPr>
            <w:r w:rsidRPr="0099346A">
              <w:rPr>
                <w:rFonts w:ascii="Arial" w:hAnsi="Arial" w:cs="Arial"/>
                <w:b/>
                <w:sz w:val="24"/>
                <w:szCs w:val="24"/>
              </w:rPr>
              <w:t>Funded Program</w:t>
            </w:r>
          </w:p>
        </w:tc>
        <w:tc>
          <w:tcPr>
            <w:tcW w:w="971" w:type="dxa"/>
          </w:tcPr>
          <w:p w14:paraId="60F814C5" w14:textId="77777777" w:rsidR="00BA603E" w:rsidRPr="0099346A" w:rsidRDefault="00BA603E" w:rsidP="003550AE">
            <w:pPr>
              <w:widowControl w:val="0"/>
              <w:jc w:val="center"/>
              <w:rPr>
                <w:rFonts w:ascii="Arial" w:hAnsi="Arial" w:cs="Arial"/>
                <w:b/>
                <w:sz w:val="24"/>
                <w:szCs w:val="24"/>
              </w:rPr>
            </w:pPr>
            <w:r w:rsidRPr="0099346A">
              <w:rPr>
                <w:rFonts w:ascii="Arial" w:hAnsi="Arial" w:cs="Arial"/>
                <w:b/>
                <w:sz w:val="24"/>
                <w:szCs w:val="24"/>
              </w:rPr>
              <w:t>Grant</w:t>
            </w:r>
          </w:p>
        </w:tc>
        <w:tc>
          <w:tcPr>
            <w:tcW w:w="1421" w:type="dxa"/>
          </w:tcPr>
          <w:p w14:paraId="2841ABCD" w14:textId="77777777" w:rsidR="00BA603E" w:rsidRPr="0099346A" w:rsidRDefault="00BA603E" w:rsidP="003550AE">
            <w:pPr>
              <w:widowControl w:val="0"/>
              <w:jc w:val="center"/>
              <w:rPr>
                <w:rFonts w:ascii="Arial" w:hAnsi="Arial" w:cs="Arial"/>
                <w:b/>
                <w:sz w:val="24"/>
                <w:szCs w:val="24"/>
              </w:rPr>
            </w:pPr>
            <w:r w:rsidRPr="0099346A">
              <w:rPr>
                <w:rFonts w:ascii="Arial" w:hAnsi="Arial" w:cs="Arial"/>
                <w:b/>
                <w:sz w:val="24"/>
                <w:szCs w:val="24"/>
              </w:rPr>
              <w:t>Sponsored Program</w:t>
            </w:r>
          </w:p>
        </w:tc>
        <w:tc>
          <w:tcPr>
            <w:tcW w:w="1088" w:type="dxa"/>
          </w:tcPr>
          <w:p w14:paraId="7A688FF7" w14:textId="77777777" w:rsidR="00BA603E" w:rsidRPr="0099346A" w:rsidRDefault="00BA603E" w:rsidP="003550AE">
            <w:pPr>
              <w:widowControl w:val="0"/>
              <w:jc w:val="center"/>
              <w:rPr>
                <w:rFonts w:ascii="Arial" w:hAnsi="Arial" w:cs="Arial"/>
                <w:b/>
                <w:sz w:val="24"/>
                <w:szCs w:val="24"/>
              </w:rPr>
            </w:pPr>
            <w:r w:rsidRPr="0099346A">
              <w:rPr>
                <w:rFonts w:ascii="Arial" w:hAnsi="Arial" w:cs="Arial"/>
                <w:b/>
                <w:sz w:val="24"/>
                <w:szCs w:val="24"/>
              </w:rPr>
              <w:t>Amount</w:t>
            </w:r>
          </w:p>
        </w:tc>
      </w:tr>
      <w:tr w:rsidR="00BA603E" w:rsidRPr="0099346A" w14:paraId="5D810295" w14:textId="77777777" w:rsidTr="003550AE">
        <w:trPr>
          <w:trHeight w:val="144"/>
        </w:trPr>
        <w:tc>
          <w:tcPr>
            <w:tcW w:w="733" w:type="dxa"/>
          </w:tcPr>
          <w:p w14:paraId="6739C36A" w14:textId="77777777" w:rsidR="00BA603E" w:rsidRPr="0099346A" w:rsidRDefault="00BA603E" w:rsidP="003550AE">
            <w:pPr>
              <w:widowControl w:val="0"/>
              <w:rPr>
                <w:rFonts w:ascii="Arial" w:hAnsi="Arial" w:cs="Arial"/>
                <w:bCs/>
                <w:i/>
                <w:iCs/>
                <w:sz w:val="24"/>
                <w:szCs w:val="24"/>
              </w:rPr>
            </w:pPr>
          </w:p>
        </w:tc>
        <w:tc>
          <w:tcPr>
            <w:tcW w:w="1311" w:type="dxa"/>
          </w:tcPr>
          <w:p w14:paraId="2E0AA7CE" w14:textId="77777777" w:rsidR="00BA603E" w:rsidRPr="0099346A" w:rsidRDefault="00BA603E" w:rsidP="003550AE">
            <w:pPr>
              <w:widowControl w:val="0"/>
              <w:rPr>
                <w:rFonts w:ascii="Arial" w:hAnsi="Arial" w:cs="Arial"/>
                <w:bCs/>
                <w:i/>
                <w:iCs/>
                <w:sz w:val="24"/>
                <w:szCs w:val="24"/>
              </w:rPr>
            </w:pPr>
          </w:p>
        </w:tc>
        <w:tc>
          <w:tcPr>
            <w:tcW w:w="1522" w:type="dxa"/>
          </w:tcPr>
          <w:p w14:paraId="69D44BB2" w14:textId="77777777" w:rsidR="00BA603E" w:rsidRPr="0099346A" w:rsidRDefault="00BA603E" w:rsidP="003550AE">
            <w:pPr>
              <w:widowControl w:val="0"/>
              <w:rPr>
                <w:rFonts w:ascii="Arial" w:hAnsi="Arial" w:cs="Arial"/>
                <w:bCs/>
                <w:i/>
                <w:iCs/>
                <w:sz w:val="24"/>
                <w:szCs w:val="24"/>
              </w:rPr>
            </w:pPr>
          </w:p>
        </w:tc>
        <w:tc>
          <w:tcPr>
            <w:tcW w:w="1837" w:type="dxa"/>
          </w:tcPr>
          <w:p w14:paraId="1068DEE8" w14:textId="77777777" w:rsidR="00BA603E" w:rsidRPr="0099346A" w:rsidRDefault="00BA603E" w:rsidP="003550AE">
            <w:pPr>
              <w:widowControl w:val="0"/>
              <w:rPr>
                <w:rFonts w:ascii="Arial" w:hAnsi="Arial" w:cs="Arial"/>
                <w:bCs/>
                <w:i/>
                <w:iCs/>
                <w:sz w:val="24"/>
                <w:szCs w:val="24"/>
              </w:rPr>
            </w:pPr>
          </w:p>
        </w:tc>
        <w:tc>
          <w:tcPr>
            <w:tcW w:w="1907" w:type="dxa"/>
          </w:tcPr>
          <w:p w14:paraId="223C2BB2" w14:textId="77777777" w:rsidR="00BA603E" w:rsidRPr="0099346A" w:rsidRDefault="00BA603E" w:rsidP="003550AE">
            <w:pPr>
              <w:widowControl w:val="0"/>
              <w:rPr>
                <w:rFonts w:ascii="Arial" w:hAnsi="Arial" w:cs="Arial"/>
                <w:bCs/>
                <w:i/>
                <w:iCs/>
                <w:sz w:val="24"/>
                <w:szCs w:val="24"/>
              </w:rPr>
            </w:pPr>
          </w:p>
        </w:tc>
        <w:tc>
          <w:tcPr>
            <w:tcW w:w="971" w:type="dxa"/>
          </w:tcPr>
          <w:p w14:paraId="79651517" w14:textId="77777777" w:rsidR="00BA603E" w:rsidRPr="0099346A" w:rsidRDefault="00BA603E" w:rsidP="003550AE">
            <w:pPr>
              <w:widowControl w:val="0"/>
              <w:rPr>
                <w:rFonts w:ascii="Arial" w:hAnsi="Arial" w:cs="Arial"/>
                <w:bCs/>
                <w:i/>
                <w:iCs/>
                <w:sz w:val="24"/>
                <w:szCs w:val="24"/>
              </w:rPr>
            </w:pPr>
          </w:p>
        </w:tc>
        <w:tc>
          <w:tcPr>
            <w:tcW w:w="1421" w:type="dxa"/>
          </w:tcPr>
          <w:p w14:paraId="35E713DC" w14:textId="77777777" w:rsidR="00BA603E" w:rsidRPr="0099346A" w:rsidRDefault="00BA603E" w:rsidP="003550AE">
            <w:pPr>
              <w:widowControl w:val="0"/>
              <w:rPr>
                <w:rFonts w:ascii="Arial" w:hAnsi="Arial" w:cs="Arial"/>
                <w:bCs/>
                <w:i/>
                <w:iCs/>
                <w:sz w:val="24"/>
                <w:szCs w:val="24"/>
              </w:rPr>
            </w:pPr>
          </w:p>
        </w:tc>
        <w:tc>
          <w:tcPr>
            <w:tcW w:w="1088" w:type="dxa"/>
          </w:tcPr>
          <w:p w14:paraId="7CF1A62D" w14:textId="77777777" w:rsidR="00BA603E" w:rsidRPr="0099346A" w:rsidRDefault="00BA603E" w:rsidP="003550AE">
            <w:pPr>
              <w:widowControl w:val="0"/>
              <w:rPr>
                <w:rFonts w:ascii="Arial" w:hAnsi="Arial" w:cs="Arial"/>
                <w:bCs/>
                <w:i/>
                <w:iCs/>
                <w:sz w:val="24"/>
                <w:szCs w:val="24"/>
              </w:rPr>
            </w:pPr>
          </w:p>
        </w:tc>
      </w:tr>
      <w:tr w:rsidR="00BA603E" w:rsidRPr="0099346A" w14:paraId="3A7991AC" w14:textId="77777777" w:rsidTr="003550AE">
        <w:trPr>
          <w:trHeight w:val="144"/>
        </w:trPr>
        <w:tc>
          <w:tcPr>
            <w:tcW w:w="733" w:type="dxa"/>
          </w:tcPr>
          <w:p w14:paraId="394D003F" w14:textId="77777777" w:rsidR="00BA603E" w:rsidRPr="0099346A" w:rsidRDefault="00BA603E" w:rsidP="003550AE">
            <w:pPr>
              <w:widowControl w:val="0"/>
              <w:rPr>
                <w:rFonts w:ascii="Arial" w:hAnsi="Arial" w:cs="Arial"/>
                <w:bCs/>
                <w:i/>
                <w:iCs/>
                <w:sz w:val="24"/>
                <w:szCs w:val="24"/>
              </w:rPr>
            </w:pPr>
          </w:p>
        </w:tc>
        <w:tc>
          <w:tcPr>
            <w:tcW w:w="1311" w:type="dxa"/>
          </w:tcPr>
          <w:p w14:paraId="5A0F3CDD" w14:textId="77777777" w:rsidR="00BA603E" w:rsidRPr="0099346A" w:rsidRDefault="00BA603E" w:rsidP="003550AE">
            <w:pPr>
              <w:widowControl w:val="0"/>
              <w:rPr>
                <w:rFonts w:ascii="Arial" w:hAnsi="Arial" w:cs="Arial"/>
                <w:bCs/>
                <w:i/>
                <w:iCs/>
                <w:sz w:val="24"/>
                <w:szCs w:val="24"/>
              </w:rPr>
            </w:pPr>
          </w:p>
        </w:tc>
        <w:tc>
          <w:tcPr>
            <w:tcW w:w="1522" w:type="dxa"/>
          </w:tcPr>
          <w:p w14:paraId="159ECB2C" w14:textId="77777777" w:rsidR="00BA603E" w:rsidRPr="0099346A" w:rsidRDefault="00BA603E" w:rsidP="003550AE">
            <w:pPr>
              <w:widowControl w:val="0"/>
              <w:rPr>
                <w:rFonts w:ascii="Arial" w:hAnsi="Arial" w:cs="Arial"/>
                <w:bCs/>
                <w:i/>
                <w:iCs/>
                <w:sz w:val="24"/>
                <w:szCs w:val="24"/>
              </w:rPr>
            </w:pPr>
          </w:p>
        </w:tc>
        <w:tc>
          <w:tcPr>
            <w:tcW w:w="1837" w:type="dxa"/>
          </w:tcPr>
          <w:p w14:paraId="07E50525" w14:textId="77777777" w:rsidR="00BA603E" w:rsidRPr="0099346A" w:rsidRDefault="00BA603E" w:rsidP="003550AE">
            <w:pPr>
              <w:widowControl w:val="0"/>
              <w:rPr>
                <w:rFonts w:ascii="Arial" w:hAnsi="Arial" w:cs="Arial"/>
                <w:bCs/>
                <w:i/>
                <w:iCs/>
                <w:sz w:val="24"/>
                <w:szCs w:val="24"/>
              </w:rPr>
            </w:pPr>
          </w:p>
        </w:tc>
        <w:tc>
          <w:tcPr>
            <w:tcW w:w="1907" w:type="dxa"/>
          </w:tcPr>
          <w:p w14:paraId="78030BB8" w14:textId="77777777" w:rsidR="00BA603E" w:rsidRPr="0099346A" w:rsidRDefault="00BA603E" w:rsidP="003550AE">
            <w:pPr>
              <w:widowControl w:val="0"/>
              <w:rPr>
                <w:rFonts w:ascii="Arial" w:hAnsi="Arial" w:cs="Arial"/>
                <w:bCs/>
                <w:i/>
                <w:iCs/>
                <w:sz w:val="24"/>
                <w:szCs w:val="24"/>
              </w:rPr>
            </w:pPr>
          </w:p>
        </w:tc>
        <w:tc>
          <w:tcPr>
            <w:tcW w:w="971" w:type="dxa"/>
          </w:tcPr>
          <w:p w14:paraId="27E58349" w14:textId="77777777" w:rsidR="00BA603E" w:rsidRPr="0099346A" w:rsidRDefault="00BA603E" w:rsidP="003550AE">
            <w:pPr>
              <w:widowControl w:val="0"/>
              <w:rPr>
                <w:rFonts w:ascii="Arial" w:hAnsi="Arial" w:cs="Arial"/>
                <w:bCs/>
                <w:i/>
                <w:iCs/>
                <w:sz w:val="24"/>
                <w:szCs w:val="24"/>
              </w:rPr>
            </w:pPr>
          </w:p>
        </w:tc>
        <w:tc>
          <w:tcPr>
            <w:tcW w:w="1421" w:type="dxa"/>
          </w:tcPr>
          <w:p w14:paraId="2AEA61A9" w14:textId="77777777" w:rsidR="00BA603E" w:rsidRPr="0099346A" w:rsidRDefault="00BA603E" w:rsidP="003550AE">
            <w:pPr>
              <w:widowControl w:val="0"/>
              <w:rPr>
                <w:rFonts w:ascii="Arial" w:hAnsi="Arial" w:cs="Arial"/>
                <w:bCs/>
                <w:i/>
                <w:iCs/>
                <w:sz w:val="24"/>
                <w:szCs w:val="24"/>
              </w:rPr>
            </w:pPr>
          </w:p>
        </w:tc>
        <w:tc>
          <w:tcPr>
            <w:tcW w:w="1088" w:type="dxa"/>
          </w:tcPr>
          <w:p w14:paraId="7CB15793" w14:textId="77777777" w:rsidR="00BA603E" w:rsidRPr="0099346A" w:rsidRDefault="00BA603E" w:rsidP="003550AE">
            <w:pPr>
              <w:widowControl w:val="0"/>
              <w:rPr>
                <w:rFonts w:ascii="Arial" w:hAnsi="Arial" w:cs="Arial"/>
                <w:bCs/>
                <w:i/>
                <w:iCs/>
                <w:sz w:val="24"/>
                <w:szCs w:val="24"/>
              </w:rPr>
            </w:pPr>
          </w:p>
        </w:tc>
      </w:tr>
      <w:tr w:rsidR="00BA603E" w:rsidRPr="0099346A" w14:paraId="584A24B7" w14:textId="77777777" w:rsidTr="003550AE">
        <w:trPr>
          <w:trHeight w:val="144"/>
        </w:trPr>
        <w:tc>
          <w:tcPr>
            <w:tcW w:w="733" w:type="dxa"/>
          </w:tcPr>
          <w:p w14:paraId="64D64348" w14:textId="77777777" w:rsidR="00BA603E" w:rsidRPr="0099346A" w:rsidRDefault="00BA603E" w:rsidP="003550AE">
            <w:pPr>
              <w:widowControl w:val="0"/>
              <w:rPr>
                <w:rFonts w:ascii="Arial" w:hAnsi="Arial" w:cs="Arial"/>
                <w:bCs/>
                <w:i/>
                <w:iCs/>
                <w:sz w:val="24"/>
                <w:szCs w:val="24"/>
              </w:rPr>
            </w:pPr>
          </w:p>
        </w:tc>
        <w:tc>
          <w:tcPr>
            <w:tcW w:w="1311" w:type="dxa"/>
          </w:tcPr>
          <w:p w14:paraId="0AE00C28" w14:textId="77777777" w:rsidR="00BA603E" w:rsidRPr="0099346A" w:rsidRDefault="00BA603E" w:rsidP="003550AE">
            <w:pPr>
              <w:widowControl w:val="0"/>
              <w:rPr>
                <w:rFonts w:ascii="Arial" w:hAnsi="Arial" w:cs="Arial"/>
                <w:bCs/>
                <w:i/>
                <w:iCs/>
                <w:sz w:val="24"/>
                <w:szCs w:val="24"/>
              </w:rPr>
            </w:pPr>
          </w:p>
        </w:tc>
        <w:tc>
          <w:tcPr>
            <w:tcW w:w="1522" w:type="dxa"/>
          </w:tcPr>
          <w:p w14:paraId="503F1CB1" w14:textId="77777777" w:rsidR="00BA603E" w:rsidRPr="0099346A" w:rsidRDefault="00BA603E" w:rsidP="003550AE">
            <w:pPr>
              <w:widowControl w:val="0"/>
              <w:rPr>
                <w:rFonts w:ascii="Arial" w:hAnsi="Arial" w:cs="Arial"/>
                <w:bCs/>
                <w:i/>
                <w:iCs/>
                <w:sz w:val="24"/>
                <w:szCs w:val="24"/>
              </w:rPr>
            </w:pPr>
          </w:p>
        </w:tc>
        <w:tc>
          <w:tcPr>
            <w:tcW w:w="1837" w:type="dxa"/>
          </w:tcPr>
          <w:p w14:paraId="203C9B0E" w14:textId="77777777" w:rsidR="00BA603E" w:rsidRPr="0099346A" w:rsidRDefault="00BA603E" w:rsidP="003550AE">
            <w:pPr>
              <w:widowControl w:val="0"/>
              <w:rPr>
                <w:rFonts w:ascii="Arial" w:hAnsi="Arial" w:cs="Arial"/>
                <w:bCs/>
                <w:i/>
                <w:iCs/>
                <w:sz w:val="24"/>
                <w:szCs w:val="24"/>
              </w:rPr>
            </w:pPr>
          </w:p>
        </w:tc>
        <w:tc>
          <w:tcPr>
            <w:tcW w:w="1907" w:type="dxa"/>
          </w:tcPr>
          <w:p w14:paraId="50151903" w14:textId="77777777" w:rsidR="00BA603E" w:rsidRPr="0099346A" w:rsidRDefault="00BA603E" w:rsidP="003550AE">
            <w:pPr>
              <w:widowControl w:val="0"/>
              <w:rPr>
                <w:rFonts w:ascii="Arial" w:hAnsi="Arial" w:cs="Arial"/>
                <w:bCs/>
                <w:i/>
                <w:iCs/>
                <w:sz w:val="24"/>
                <w:szCs w:val="24"/>
              </w:rPr>
            </w:pPr>
          </w:p>
        </w:tc>
        <w:tc>
          <w:tcPr>
            <w:tcW w:w="971" w:type="dxa"/>
          </w:tcPr>
          <w:p w14:paraId="546D7961" w14:textId="77777777" w:rsidR="00BA603E" w:rsidRPr="0099346A" w:rsidRDefault="00BA603E" w:rsidP="003550AE">
            <w:pPr>
              <w:widowControl w:val="0"/>
              <w:rPr>
                <w:rFonts w:ascii="Arial" w:hAnsi="Arial" w:cs="Arial"/>
                <w:bCs/>
                <w:i/>
                <w:iCs/>
                <w:sz w:val="24"/>
                <w:szCs w:val="24"/>
              </w:rPr>
            </w:pPr>
          </w:p>
        </w:tc>
        <w:tc>
          <w:tcPr>
            <w:tcW w:w="1421" w:type="dxa"/>
          </w:tcPr>
          <w:p w14:paraId="06D670A8" w14:textId="77777777" w:rsidR="00BA603E" w:rsidRPr="0099346A" w:rsidRDefault="00BA603E" w:rsidP="003550AE">
            <w:pPr>
              <w:widowControl w:val="0"/>
              <w:rPr>
                <w:rFonts w:ascii="Arial" w:hAnsi="Arial" w:cs="Arial"/>
                <w:bCs/>
                <w:i/>
                <w:iCs/>
                <w:sz w:val="24"/>
                <w:szCs w:val="24"/>
              </w:rPr>
            </w:pPr>
          </w:p>
        </w:tc>
        <w:tc>
          <w:tcPr>
            <w:tcW w:w="1088" w:type="dxa"/>
          </w:tcPr>
          <w:p w14:paraId="6BAC9E84" w14:textId="77777777" w:rsidR="00BA603E" w:rsidRPr="0099346A" w:rsidRDefault="00BA603E" w:rsidP="003550AE">
            <w:pPr>
              <w:widowControl w:val="0"/>
              <w:rPr>
                <w:rFonts w:ascii="Arial" w:hAnsi="Arial" w:cs="Arial"/>
                <w:bCs/>
                <w:i/>
                <w:iCs/>
                <w:sz w:val="24"/>
                <w:szCs w:val="24"/>
              </w:rPr>
            </w:pPr>
          </w:p>
        </w:tc>
      </w:tr>
      <w:tr w:rsidR="00BA603E" w:rsidRPr="0099346A" w14:paraId="49A4E01B" w14:textId="77777777" w:rsidTr="003550AE">
        <w:trPr>
          <w:trHeight w:val="144"/>
        </w:trPr>
        <w:tc>
          <w:tcPr>
            <w:tcW w:w="733" w:type="dxa"/>
          </w:tcPr>
          <w:p w14:paraId="2F6F5693" w14:textId="77777777" w:rsidR="00BA603E" w:rsidRPr="0099346A" w:rsidRDefault="00BA603E" w:rsidP="003550AE">
            <w:pPr>
              <w:widowControl w:val="0"/>
              <w:rPr>
                <w:rFonts w:ascii="Arial" w:hAnsi="Arial" w:cs="Arial"/>
                <w:bCs/>
                <w:i/>
                <w:iCs/>
                <w:sz w:val="24"/>
                <w:szCs w:val="24"/>
              </w:rPr>
            </w:pPr>
          </w:p>
        </w:tc>
        <w:tc>
          <w:tcPr>
            <w:tcW w:w="1311" w:type="dxa"/>
          </w:tcPr>
          <w:p w14:paraId="5D5913ED" w14:textId="77777777" w:rsidR="00BA603E" w:rsidRPr="0099346A" w:rsidRDefault="00BA603E" w:rsidP="003550AE">
            <w:pPr>
              <w:widowControl w:val="0"/>
              <w:rPr>
                <w:rFonts w:ascii="Arial" w:hAnsi="Arial" w:cs="Arial"/>
                <w:bCs/>
                <w:i/>
                <w:iCs/>
                <w:sz w:val="24"/>
                <w:szCs w:val="24"/>
              </w:rPr>
            </w:pPr>
          </w:p>
        </w:tc>
        <w:tc>
          <w:tcPr>
            <w:tcW w:w="1522" w:type="dxa"/>
          </w:tcPr>
          <w:p w14:paraId="3D5E52B9" w14:textId="77777777" w:rsidR="00BA603E" w:rsidRPr="0099346A" w:rsidRDefault="00BA603E" w:rsidP="003550AE">
            <w:pPr>
              <w:widowControl w:val="0"/>
              <w:rPr>
                <w:rFonts w:ascii="Arial" w:hAnsi="Arial" w:cs="Arial"/>
                <w:bCs/>
                <w:i/>
                <w:iCs/>
                <w:sz w:val="24"/>
                <w:szCs w:val="24"/>
              </w:rPr>
            </w:pPr>
          </w:p>
        </w:tc>
        <w:tc>
          <w:tcPr>
            <w:tcW w:w="1837" w:type="dxa"/>
          </w:tcPr>
          <w:p w14:paraId="66986510" w14:textId="77777777" w:rsidR="00BA603E" w:rsidRPr="0099346A" w:rsidRDefault="00BA603E" w:rsidP="003550AE">
            <w:pPr>
              <w:widowControl w:val="0"/>
              <w:rPr>
                <w:rFonts w:ascii="Arial" w:hAnsi="Arial" w:cs="Arial"/>
                <w:bCs/>
                <w:i/>
                <w:iCs/>
                <w:sz w:val="24"/>
                <w:szCs w:val="24"/>
              </w:rPr>
            </w:pPr>
          </w:p>
        </w:tc>
        <w:tc>
          <w:tcPr>
            <w:tcW w:w="1907" w:type="dxa"/>
          </w:tcPr>
          <w:p w14:paraId="7F69F931" w14:textId="77777777" w:rsidR="00BA603E" w:rsidRPr="0099346A" w:rsidRDefault="00BA603E" w:rsidP="003550AE">
            <w:pPr>
              <w:widowControl w:val="0"/>
              <w:rPr>
                <w:rFonts w:ascii="Arial" w:hAnsi="Arial" w:cs="Arial"/>
                <w:bCs/>
                <w:i/>
                <w:iCs/>
                <w:sz w:val="24"/>
                <w:szCs w:val="24"/>
              </w:rPr>
            </w:pPr>
          </w:p>
        </w:tc>
        <w:tc>
          <w:tcPr>
            <w:tcW w:w="971" w:type="dxa"/>
          </w:tcPr>
          <w:p w14:paraId="1F89B999" w14:textId="77777777" w:rsidR="00BA603E" w:rsidRPr="0099346A" w:rsidRDefault="00BA603E" w:rsidP="003550AE">
            <w:pPr>
              <w:widowControl w:val="0"/>
              <w:rPr>
                <w:rFonts w:ascii="Arial" w:hAnsi="Arial" w:cs="Arial"/>
                <w:bCs/>
                <w:i/>
                <w:iCs/>
                <w:sz w:val="24"/>
                <w:szCs w:val="24"/>
              </w:rPr>
            </w:pPr>
          </w:p>
        </w:tc>
        <w:tc>
          <w:tcPr>
            <w:tcW w:w="1421" w:type="dxa"/>
          </w:tcPr>
          <w:p w14:paraId="01A1F289" w14:textId="77777777" w:rsidR="00BA603E" w:rsidRPr="0099346A" w:rsidRDefault="00BA603E" w:rsidP="003550AE">
            <w:pPr>
              <w:widowControl w:val="0"/>
              <w:rPr>
                <w:rFonts w:ascii="Arial" w:hAnsi="Arial" w:cs="Arial"/>
                <w:bCs/>
                <w:i/>
                <w:iCs/>
                <w:sz w:val="24"/>
                <w:szCs w:val="24"/>
              </w:rPr>
            </w:pPr>
          </w:p>
        </w:tc>
        <w:tc>
          <w:tcPr>
            <w:tcW w:w="1088" w:type="dxa"/>
          </w:tcPr>
          <w:p w14:paraId="3CE21DFA" w14:textId="77777777" w:rsidR="00BA603E" w:rsidRPr="0099346A" w:rsidRDefault="00BA603E" w:rsidP="003550AE">
            <w:pPr>
              <w:widowControl w:val="0"/>
              <w:rPr>
                <w:rFonts w:ascii="Arial" w:hAnsi="Arial" w:cs="Arial"/>
                <w:bCs/>
                <w:i/>
                <w:iCs/>
                <w:sz w:val="24"/>
                <w:szCs w:val="24"/>
              </w:rPr>
            </w:pPr>
          </w:p>
        </w:tc>
      </w:tr>
    </w:tbl>
    <w:p w14:paraId="55363A68" w14:textId="77777777" w:rsidR="00542D16" w:rsidRPr="0099346A" w:rsidRDefault="00542D16">
      <w:pPr>
        <w:rPr>
          <w:rFonts w:ascii="Arial" w:hAnsi="Arial" w:cs="Arial"/>
          <w:sz w:val="24"/>
          <w:szCs w:val="24"/>
        </w:rPr>
      </w:pPr>
    </w:p>
    <w:sectPr w:rsidR="00542D16" w:rsidRPr="0099346A" w:rsidSect="0099346A">
      <w:headerReference w:type="default" r:id="rId13"/>
      <w:footerReference w:type="default" r:id="rId14"/>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28130" w14:textId="77777777" w:rsidR="00366C39" w:rsidRDefault="00366C39" w:rsidP="00EA7357">
      <w:pPr>
        <w:spacing w:after="0" w:line="240" w:lineRule="auto"/>
      </w:pPr>
      <w:r>
        <w:separator/>
      </w:r>
    </w:p>
  </w:endnote>
  <w:endnote w:type="continuationSeparator" w:id="0">
    <w:p w14:paraId="199353D3" w14:textId="77777777" w:rsidR="00366C39" w:rsidRDefault="00366C39" w:rsidP="00EA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C3DF" w14:textId="77777777" w:rsidR="00C44728" w:rsidRPr="00BE1207" w:rsidRDefault="00C44728">
    <w:pPr>
      <w:pStyle w:val="Footer"/>
      <w:pBdr>
        <w:bottom w:val="single" w:sz="6" w:space="1" w:color="auto"/>
      </w:pBdr>
      <w:rPr>
        <w:rFonts w:cs="Times New Roman"/>
        <w:b/>
        <w:sz w:val="16"/>
        <w:szCs w:val="16"/>
      </w:rPr>
    </w:pPr>
  </w:p>
  <w:p w14:paraId="2CA923B8" w14:textId="77777777" w:rsidR="00BD148D" w:rsidRPr="00BE1207" w:rsidRDefault="00CF43F9">
    <w:pPr>
      <w:pStyle w:val="Footer"/>
      <w:rPr>
        <w:rFonts w:asciiTheme="majorHAnsi" w:hAnsiTheme="majorHAnsi" w:cs="Times New Roman"/>
        <w:b/>
        <w:sz w:val="16"/>
        <w:szCs w:val="16"/>
      </w:rPr>
    </w:pPr>
    <w:r w:rsidRPr="00CF43F9">
      <w:rPr>
        <w:rFonts w:asciiTheme="majorHAnsi" w:hAnsiTheme="majorHAnsi" w:cs="Times New Roman"/>
        <w:b/>
        <w:sz w:val="16"/>
        <w:szCs w:val="16"/>
      </w:rPr>
      <w:t>AUGUST</w:t>
    </w:r>
    <w:r w:rsidR="00BA603E" w:rsidRPr="00BE1207">
      <w:rPr>
        <w:rFonts w:asciiTheme="majorHAnsi" w:hAnsiTheme="majorHAnsi" w:cs="Times New Roman"/>
        <w:b/>
        <w:sz w:val="16"/>
        <w:szCs w:val="16"/>
      </w:rPr>
      <w:t xml:space="preserve"> 2017</w:t>
    </w:r>
    <w:r w:rsidR="006E4EF1" w:rsidRPr="00BE1207">
      <w:rPr>
        <w:rFonts w:asciiTheme="majorHAnsi" w:hAnsiTheme="majorHAnsi" w:cs="Times New Roman"/>
        <w:b/>
        <w:sz w:val="16"/>
        <w:szCs w:val="16"/>
      </w:rPr>
      <w:t xml:space="preserve"> version</w:t>
    </w:r>
  </w:p>
  <w:p w14:paraId="6FCC1E49" w14:textId="77777777" w:rsidR="00BD148D" w:rsidRPr="00BA603E" w:rsidRDefault="00BD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8FFD4" w14:textId="77777777" w:rsidR="00366C39" w:rsidRDefault="00366C39" w:rsidP="00EA7357">
      <w:pPr>
        <w:spacing w:after="0" w:line="240" w:lineRule="auto"/>
      </w:pPr>
      <w:r>
        <w:separator/>
      </w:r>
    </w:p>
  </w:footnote>
  <w:footnote w:type="continuationSeparator" w:id="0">
    <w:p w14:paraId="3350CF1F" w14:textId="77777777" w:rsidR="00366C39" w:rsidRDefault="00366C39" w:rsidP="00EA7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9661" w14:textId="77777777" w:rsidR="000225BB" w:rsidRPr="00BE1207" w:rsidRDefault="000225BB" w:rsidP="000225BB">
    <w:pPr>
      <w:pStyle w:val="Header"/>
      <w:pBdr>
        <w:bottom w:val="single" w:sz="6" w:space="1" w:color="auto"/>
      </w:pBdr>
      <w:tabs>
        <w:tab w:val="clear" w:pos="9360"/>
        <w:tab w:val="right" w:pos="10800"/>
      </w:tabs>
      <w:rPr>
        <w:rFonts w:asciiTheme="majorHAnsi" w:hAnsiTheme="majorHAnsi" w:cs="Times New Roman"/>
        <w:sz w:val="20"/>
        <w:szCs w:val="20"/>
      </w:rPr>
    </w:pPr>
    <w:r w:rsidRPr="00BE1207">
      <w:rPr>
        <w:rFonts w:asciiTheme="majorHAnsi" w:hAnsiTheme="majorHAnsi" w:cs="Times New Roman"/>
        <w:sz w:val="20"/>
        <w:szCs w:val="20"/>
      </w:rPr>
      <w:t>Impact Statement for Requested Council Action</w:t>
    </w:r>
    <w:r w:rsidRPr="00BE1207">
      <w:rPr>
        <w:rFonts w:asciiTheme="majorHAnsi" w:hAnsiTheme="majorHAnsi" w:cs="Times New Roman"/>
        <w:sz w:val="20"/>
        <w:szCs w:val="20"/>
      </w:rPr>
      <w:tab/>
    </w:r>
    <w:r w:rsidRPr="00BE1207">
      <w:rPr>
        <w:rFonts w:asciiTheme="majorHAnsi" w:hAnsiTheme="majorHAnsi" w:cs="Times New Roman"/>
        <w:sz w:val="20"/>
        <w:szCs w:val="20"/>
      </w:rPr>
      <w:tab/>
    </w:r>
  </w:p>
  <w:p w14:paraId="6674BE9C" w14:textId="77777777" w:rsidR="000225BB" w:rsidRDefault="0002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3A60"/>
    <w:multiLevelType w:val="hybridMultilevel"/>
    <w:tmpl w:val="001E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57C7"/>
    <w:multiLevelType w:val="hybridMultilevel"/>
    <w:tmpl w:val="672E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53579"/>
    <w:multiLevelType w:val="hybridMultilevel"/>
    <w:tmpl w:val="2A60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D3AE9"/>
    <w:multiLevelType w:val="hybridMultilevel"/>
    <w:tmpl w:val="5AA0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D09AD"/>
    <w:multiLevelType w:val="hybridMultilevel"/>
    <w:tmpl w:val="C6FE9776"/>
    <w:lvl w:ilvl="0" w:tplc="165893B8">
      <w:start w:val="1"/>
      <w:numFmt w:val="bullet"/>
      <w:lvlText w:val=""/>
      <w:lvlJc w:val="left"/>
      <w:pPr>
        <w:ind w:left="720" w:hanging="360"/>
      </w:pPr>
      <w:rPr>
        <w:rFonts w:ascii="Symbol" w:hAnsi="Symbol" w:hint="default"/>
      </w:rPr>
    </w:lvl>
    <w:lvl w:ilvl="1" w:tplc="94922826">
      <w:start w:val="1"/>
      <w:numFmt w:val="bullet"/>
      <w:lvlText w:val=""/>
      <w:lvlJc w:val="left"/>
      <w:pPr>
        <w:ind w:left="1440" w:hanging="360"/>
      </w:pPr>
      <w:rPr>
        <w:rFonts w:ascii="Symbol" w:hAnsi="Symbol" w:hint="default"/>
      </w:rPr>
    </w:lvl>
    <w:lvl w:ilvl="2" w:tplc="7E286686">
      <w:start w:val="1"/>
      <w:numFmt w:val="bullet"/>
      <w:lvlText w:val=""/>
      <w:lvlJc w:val="left"/>
      <w:pPr>
        <w:ind w:left="2160" w:hanging="360"/>
      </w:pPr>
      <w:rPr>
        <w:rFonts w:ascii="Wingdings" w:hAnsi="Wingdings" w:hint="default"/>
      </w:rPr>
    </w:lvl>
    <w:lvl w:ilvl="3" w:tplc="99A01E20">
      <w:start w:val="1"/>
      <w:numFmt w:val="bullet"/>
      <w:lvlText w:val=""/>
      <w:lvlJc w:val="left"/>
      <w:pPr>
        <w:ind w:left="2880" w:hanging="360"/>
      </w:pPr>
      <w:rPr>
        <w:rFonts w:ascii="Symbol" w:hAnsi="Symbol" w:hint="default"/>
      </w:rPr>
    </w:lvl>
    <w:lvl w:ilvl="4" w:tplc="0C50B0D8">
      <w:start w:val="1"/>
      <w:numFmt w:val="bullet"/>
      <w:lvlText w:val="o"/>
      <w:lvlJc w:val="left"/>
      <w:pPr>
        <w:ind w:left="3600" w:hanging="360"/>
      </w:pPr>
      <w:rPr>
        <w:rFonts w:ascii="Courier New" w:hAnsi="Courier New" w:hint="default"/>
      </w:rPr>
    </w:lvl>
    <w:lvl w:ilvl="5" w:tplc="EF841942">
      <w:start w:val="1"/>
      <w:numFmt w:val="bullet"/>
      <w:lvlText w:val=""/>
      <w:lvlJc w:val="left"/>
      <w:pPr>
        <w:ind w:left="4320" w:hanging="360"/>
      </w:pPr>
      <w:rPr>
        <w:rFonts w:ascii="Wingdings" w:hAnsi="Wingdings" w:hint="default"/>
      </w:rPr>
    </w:lvl>
    <w:lvl w:ilvl="6" w:tplc="7902A21E">
      <w:start w:val="1"/>
      <w:numFmt w:val="bullet"/>
      <w:lvlText w:val=""/>
      <w:lvlJc w:val="left"/>
      <w:pPr>
        <w:ind w:left="5040" w:hanging="360"/>
      </w:pPr>
      <w:rPr>
        <w:rFonts w:ascii="Symbol" w:hAnsi="Symbol" w:hint="default"/>
      </w:rPr>
    </w:lvl>
    <w:lvl w:ilvl="7" w:tplc="F416B7F0">
      <w:start w:val="1"/>
      <w:numFmt w:val="bullet"/>
      <w:lvlText w:val="o"/>
      <w:lvlJc w:val="left"/>
      <w:pPr>
        <w:ind w:left="5760" w:hanging="360"/>
      </w:pPr>
      <w:rPr>
        <w:rFonts w:ascii="Courier New" w:hAnsi="Courier New" w:hint="default"/>
      </w:rPr>
    </w:lvl>
    <w:lvl w:ilvl="8" w:tplc="02B428B4">
      <w:start w:val="1"/>
      <w:numFmt w:val="bullet"/>
      <w:lvlText w:val=""/>
      <w:lvlJc w:val="left"/>
      <w:pPr>
        <w:ind w:left="6480" w:hanging="360"/>
      </w:pPr>
      <w:rPr>
        <w:rFonts w:ascii="Wingdings" w:hAnsi="Wingdings" w:hint="default"/>
      </w:rPr>
    </w:lvl>
  </w:abstractNum>
  <w:abstractNum w:abstractNumId="5" w15:restartNumberingAfterBreak="0">
    <w:nsid w:val="342C3498"/>
    <w:multiLevelType w:val="hybridMultilevel"/>
    <w:tmpl w:val="EBE0A21C"/>
    <w:lvl w:ilvl="0" w:tplc="165893B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7E286686">
      <w:start w:val="1"/>
      <w:numFmt w:val="bullet"/>
      <w:lvlText w:val=""/>
      <w:lvlJc w:val="left"/>
      <w:pPr>
        <w:ind w:left="2160" w:hanging="360"/>
      </w:pPr>
      <w:rPr>
        <w:rFonts w:ascii="Wingdings" w:hAnsi="Wingdings" w:hint="default"/>
      </w:rPr>
    </w:lvl>
    <w:lvl w:ilvl="3" w:tplc="99A01E20">
      <w:start w:val="1"/>
      <w:numFmt w:val="bullet"/>
      <w:lvlText w:val=""/>
      <w:lvlJc w:val="left"/>
      <w:pPr>
        <w:ind w:left="2880" w:hanging="360"/>
      </w:pPr>
      <w:rPr>
        <w:rFonts w:ascii="Symbol" w:hAnsi="Symbol" w:hint="default"/>
      </w:rPr>
    </w:lvl>
    <w:lvl w:ilvl="4" w:tplc="0C50B0D8">
      <w:start w:val="1"/>
      <w:numFmt w:val="bullet"/>
      <w:lvlText w:val="o"/>
      <w:lvlJc w:val="left"/>
      <w:pPr>
        <w:ind w:left="3600" w:hanging="360"/>
      </w:pPr>
      <w:rPr>
        <w:rFonts w:ascii="Courier New" w:hAnsi="Courier New" w:hint="default"/>
      </w:rPr>
    </w:lvl>
    <w:lvl w:ilvl="5" w:tplc="EF841942">
      <w:start w:val="1"/>
      <w:numFmt w:val="bullet"/>
      <w:lvlText w:val=""/>
      <w:lvlJc w:val="left"/>
      <w:pPr>
        <w:ind w:left="4320" w:hanging="360"/>
      </w:pPr>
      <w:rPr>
        <w:rFonts w:ascii="Wingdings" w:hAnsi="Wingdings" w:hint="default"/>
      </w:rPr>
    </w:lvl>
    <w:lvl w:ilvl="6" w:tplc="7902A21E">
      <w:start w:val="1"/>
      <w:numFmt w:val="bullet"/>
      <w:lvlText w:val=""/>
      <w:lvlJc w:val="left"/>
      <w:pPr>
        <w:ind w:left="5040" w:hanging="360"/>
      </w:pPr>
      <w:rPr>
        <w:rFonts w:ascii="Symbol" w:hAnsi="Symbol" w:hint="default"/>
      </w:rPr>
    </w:lvl>
    <w:lvl w:ilvl="7" w:tplc="F416B7F0">
      <w:start w:val="1"/>
      <w:numFmt w:val="bullet"/>
      <w:lvlText w:val="o"/>
      <w:lvlJc w:val="left"/>
      <w:pPr>
        <w:ind w:left="5760" w:hanging="360"/>
      </w:pPr>
      <w:rPr>
        <w:rFonts w:ascii="Courier New" w:hAnsi="Courier New" w:hint="default"/>
      </w:rPr>
    </w:lvl>
    <w:lvl w:ilvl="8" w:tplc="02B428B4">
      <w:start w:val="1"/>
      <w:numFmt w:val="bullet"/>
      <w:lvlText w:val=""/>
      <w:lvlJc w:val="left"/>
      <w:pPr>
        <w:ind w:left="6480" w:hanging="360"/>
      </w:pPr>
      <w:rPr>
        <w:rFonts w:ascii="Wingdings" w:hAnsi="Wingdings" w:hint="default"/>
      </w:rPr>
    </w:lvl>
  </w:abstractNum>
  <w:abstractNum w:abstractNumId="6" w15:restartNumberingAfterBreak="0">
    <w:nsid w:val="43A67177"/>
    <w:multiLevelType w:val="hybridMultilevel"/>
    <w:tmpl w:val="5692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B501F"/>
    <w:multiLevelType w:val="hybridMultilevel"/>
    <w:tmpl w:val="8420566E"/>
    <w:lvl w:ilvl="0" w:tplc="8FC61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804B47-0FF2-48A9-AAD4-0D3BDEF0E1C6}"/>
    <w:docVar w:name="dgnword-eventsink" w:val="680203128"/>
  </w:docVars>
  <w:rsids>
    <w:rsidRoot w:val="000D759D"/>
    <w:rsid w:val="00005FE1"/>
    <w:rsid w:val="000225BB"/>
    <w:rsid w:val="000D759D"/>
    <w:rsid w:val="000E4EFF"/>
    <w:rsid w:val="000F64DB"/>
    <w:rsid w:val="000F6E66"/>
    <w:rsid w:val="001113DD"/>
    <w:rsid w:val="00150BC6"/>
    <w:rsid w:val="0018517B"/>
    <w:rsid w:val="001D577B"/>
    <w:rsid w:val="00200198"/>
    <w:rsid w:val="0022003C"/>
    <w:rsid w:val="00233BE0"/>
    <w:rsid w:val="00240F60"/>
    <w:rsid w:val="00247FE7"/>
    <w:rsid w:val="00275EEC"/>
    <w:rsid w:val="002912AC"/>
    <w:rsid w:val="002A23DD"/>
    <w:rsid w:val="002A4819"/>
    <w:rsid w:val="00300776"/>
    <w:rsid w:val="00304706"/>
    <w:rsid w:val="00340591"/>
    <w:rsid w:val="00366C39"/>
    <w:rsid w:val="00371353"/>
    <w:rsid w:val="00380BC6"/>
    <w:rsid w:val="003910F1"/>
    <w:rsid w:val="00393B87"/>
    <w:rsid w:val="003C2DCD"/>
    <w:rsid w:val="003E2BD4"/>
    <w:rsid w:val="00403409"/>
    <w:rsid w:val="004942E7"/>
    <w:rsid w:val="004A6D26"/>
    <w:rsid w:val="004B7014"/>
    <w:rsid w:val="004C7C7C"/>
    <w:rsid w:val="004D4F0C"/>
    <w:rsid w:val="004F6818"/>
    <w:rsid w:val="00505F52"/>
    <w:rsid w:val="0051622C"/>
    <w:rsid w:val="00542D16"/>
    <w:rsid w:val="00545B91"/>
    <w:rsid w:val="005815EA"/>
    <w:rsid w:val="00581D2F"/>
    <w:rsid w:val="005D7368"/>
    <w:rsid w:val="006104F1"/>
    <w:rsid w:val="00627B32"/>
    <w:rsid w:val="00664093"/>
    <w:rsid w:val="00691388"/>
    <w:rsid w:val="006B6BA3"/>
    <w:rsid w:val="006C2206"/>
    <w:rsid w:val="006C387D"/>
    <w:rsid w:val="006C4ECF"/>
    <w:rsid w:val="006E4EF1"/>
    <w:rsid w:val="006F4389"/>
    <w:rsid w:val="00725B9D"/>
    <w:rsid w:val="007815F9"/>
    <w:rsid w:val="007A1AF3"/>
    <w:rsid w:val="007A1BAF"/>
    <w:rsid w:val="007B3321"/>
    <w:rsid w:val="00824822"/>
    <w:rsid w:val="00863306"/>
    <w:rsid w:val="00866B8D"/>
    <w:rsid w:val="00912C52"/>
    <w:rsid w:val="00926059"/>
    <w:rsid w:val="00933753"/>
    <w:rsid w:val="00957BF4"/>
    <w:rsid w:val="0099346A"/>
    <w:rsid w:val="009C29E9"/>
    <w:rsid w:val="009E6406"/>
    <w:rsid w:val="009F1312"/>
    <w:rsid w:val="009F606F"/>
    <w:rsid w:val="00A060DD"/>
    <w:rsid w:val="00A06D6B"/>
    <w:rsid w:val="00A23098"/>
    <w:rsid w:val="00AA0487"/>
    <w:rsid w:val="00AA7D66"/>
    <w:rsid w:val="00AC107F"/>
    <w:rsid w:val="00AF07DB"/>
    <w:rsid w:val="00B10A8C"/>
    <w:rsid w:val="00B1316E"/>
    <w:rsid w:val="00B14B1A"/>
    <w:rsid w:val="00B65A48"/>
    <w:rsid w:val="00B855BC"/>
    <w:rsid w:val="00BA321E"/>
    <w:rsid w:val="00BA603E"/>
    <w:rsid w:val="00BC1385"/>
    <w:rsid w:val="00BC5553"/>
    <w:rsid w:val="00BC6D1A"/>
    <w:rsid w:val="00BD148D"/>
    <w:rsid w:val="00BE1207"/>
    <w:rsid w:val="00C071B2"/>
    <w:rsid w:val="00C44728"/>
    <w:rsid w:val="00C64F2D"/>
    <w:rsid w:val="00C66EFB"/>
    <w:rsid w:val="00C7107D"/>
    <w:rsid w:val="00C815F9"/>
    <w:rsid w:val="00CC367D"/>
    <w:rsid w:val="00CD55D2"/>
    <w:rsid w:val="00CF43F9"/>
    <w:rsid w:val="00D1641E"/>
    <w:rsid w:val="00D17108"/>
    <w:rsid w:val="00D309BE"/>
    <w:rsid w:val="00D36FAB"/>
    <w:rsid w:val="00D85E63"/>
    <w:rsid w:val="00DB0AC7"/>
    <w:rsid w:val="00DB6085"/>
    <w:rsid w:val="00DD0B9A"/>
    <w:rsid w:val="00DF65DB"/>
    <w:rsid w:val="00E14D5A"/>
    <w:rsid w:val="00E319FA"/>
    <w:rsid w:val="00EA127B"/>
    <w:rsid w:val="00EA7357"/>
    <w:rsid w:val="00EE0008"/>
    <w:rsid w:val="00F0318E"/>
    <w:rsid w:val="00F1098A"/>
    <w:rsid w:val="00F24F90"/>
    <w:rsid w:val="00FC0A97"/>
    <w:rsid w:val="00FF73F8"/>
    <w:rsid w:val="13B8F2DD"/>
    <w:rsid w:val="1CF42DA4"/>
    <w:rsid w:val="54F51FBD"/>
    <w:rsid w:val="74A57FBA"/>
    <w:rsid w:val="7A0AA609"/>
    <w:rsid w:val="7E759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B5E4"/>
  <w15:chartTrackingRefBased/>
  <w15:docId w15:val="{3685924D-2E8F-4D44-9BA7-3AFDA189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357"/>
  </w:style>
  <w:style w:type="paragraph" w:styleId="Footer">
    <w:name w:val="footer"/>
    <w:basedOn w:val="Normal"/>
    <w:link w:val="FooterChar"/>
    <w:uiPriority w:val="99"/>
    <w:unhideWhenUsed/>
    <w:rsid w:val="00EA7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357"/>
  </w:style>
  <w:style w:type="paragraph" w:styleId="ListParagraph">
    <w:name w:val="List Paragraph"/>
    <w:basedOn w:val="Normal"/>
    <w:uiPriority w:val="34"/>
    <w:qFormat/>
    <w:rsid w:val="00371353"/>
    <w:pPr>
      <w:ind w:left="720"/>
      <w:contextualSpacing/>
    </w:pPr>
  </w:style>
  <w:style w:type="paragraph" w:styleId="BalloonText">
    <w:name w:val="Balloon Text"/>
    <w:basedOn w:val="Normal"/>
    <w:link w:val="BalloonTextChar"/>
    <w:uiPriority w:val="99"/>
    <w:semiHidden/>
    <w:unhideWhenUsed/>
    <w:rsid w:val="00291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AC"/>
    <w:rPr>
      <w:rFonts w:ascii="Segoe UI" w:hAnsi="Segoe UI" w:cs="Segoe UI"/>
      <w:sz w:val="18"/>
      <w:szCs w:val="18"/>
    </w:rPr>
  </w:style>
  <w:style w:type="paragraph" w:styleId="Revision">
    <w:name w:val="Revision"/>
    <w:hidden/>
    <w:uiPriority w:val="99"/>
    <w:semiHidden/>
    <w:rsid w:val="00BA603E"/>
    <w:pPr>
      <w:spacing w:after="0" w:line="240" w:lineRule="auto"/>
    </w:pPr>
  </w:style>
  <w:style w:type="character" w:styleId="Hyperlink">
    <w:name w:val="Hyperlink"/>
    <w:basedOn w:val="DefaultParagraphFont"/>
    <w:uiPriority w:val="99"/>
    <w:unhideWhenUsed/>
    <w:rPr>
      <w:color w:val="3A3838" w:themeColor="hyperlink"/>
      <w:u w:val="single"/>
    </w:rPr>
  </w:style>
  <w:style w:type="character" w:styleId="UnresolvedMention">
    <w:name w:val="Unresolved Mention"/>
    <w:basedOn w:val="DefaultParagraphFont"/>
    <w:uiPriority w:val="99"/>
    <w:semiHidden/>
    <w:unhideWhenUsed/>
    <w:rsid w:val="00C7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i.monroe@portlandoregon.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chter@batemanseid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krawczuk@sto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segrest@alamomanhattan.com" TargetMode="External"/><Relationship Id="rId4" Type="http://schemas.openxmlformats.org/officeDocument/2006/relationships/settings" Target="settings.xml"/><Relationship Id="rId9" Type="http://schemas.openxmlformats.org/officeDocument/2006/relationships/hyperlink" Target="mailto:Morgan%20Steele@portlandoregon.gov" TargetMode="External"/><Relationship Id="rId14" Type="http://schemas.openxmlformats.org/officeDocument/2006/relationships/footer" Target="footer1.xml"/></Relationships>
</file>

<file path=word/theme/theme1.xml><?xml version="1.0" encoding="utf-8"?>
<a:theme xmlns:a="http://schemas.openxmlformats.org/drawingml/2006/main" name="CBOReview">
  <a:themeElements>
    <a:clrScheme name="CBO Review Palette">
      <a:dk1>
        <a:srgbClr val="000000"/>
      </a:dk1>
      <a:lt1>
        <a:sysClr val="window" lastClr="FFFFFF"/>
      </a:lt1>
      <a:dk2>
        <a:srgbClr val="2792C3"/>
      </a:dk2>
      <a:lt2>
        <a:srgbClr val="40B4B5"/>
      </a:lt2>
      <a:accent1>
        <a:srgbClr val="648D5C"/>
      </a:accent1>
      <a:accent2>
        <a:srgbClr val="D89840"/>
      </a:accent2>
      <a:accent3>
        <a:srgbClr val="D7502D"/>
      </a:accent3>
      <a:accent4>
        <a:srgbClr val="04A3DA"/>
      </a:accent4>
      <a:accent5>
        <a:srgbClr val="303D41"/>
      </a:accent5>
      <a:accent6>
        <a:srgbClr val="A54A31"/>
      </a:accent6>
      <a:hlink>
        <a:srgbClr val="3A3838"/>
      </a:hlink>
      <a:folHlink>
        <a:srgbClr val="D8D8D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C122-F288-4347-9525-F332B05B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Celia</dc:creator>
  <cp:keywords/>
  <dc:description/>
  <cp:lastModifiedBy>Torgerson, Leanne</cp:lastModifiedBy>
  <cp:revision>6</cp:revision>
  <cp:lastPrinted>2017-08-02T21:13:00Z</cp:lastPrinted>
  <dcterms:created xsi:type="dcterms:W3CDTF">2020-08-25T18:45:00Z</dcterms:created>
  <dcterms:modified xsi:type="dcterms:W3CDTF">2020-08-25T20:33:00Z</dcterms:modified>
</cp:coreProperties>
</file>