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67" w:rsidRDefault="00064D20" w:rsidP="00BC2D67">
      <w:pPr>
        <w:ind w:left="-990" w:right="-540"/>
        <w:rPr>
          <w:noProof/>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44.95pt;margin-top:702pt;width:531pt;height:44.1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iucYICAAALBQAADgAAAGRycy9lMm9Eb2MueG1srFTLbtswELwX6D8QvDuSHNlOhMiB4sBFgSAJ&#10;kBQ50xRlCxAfJelYadF/z5Cy82oPRdELvdxdL3dnZnV23suOPArrWq1Kmh2llAjFdd2qdUm/3S9H&#10;J5Q4z1TNOq1ESZ+Eo+fzz5/OdqYQY73RXS0sQRHlip0p6cZ7UySJ4xshmTvSRigEG20l87jadVJb&#10;tkN12SXjNJ0mO21rYzUXzsF7OQTpPNZvGsH9TdM44UlXUvTm42njuQpnMj9jxdoys2n5vg32D11I&#10;1io8+lLqknlGtrb9rZRsudVON/6Ia5nopmm5iDNgmiz9MM3dhhkRZwE4zrzA5P5fWX79eGtJW5f0&#10;mBLFJCi6F70nF7onxwGdnXEFku4M0nwPN1g++B2cYei+sTL8YhyCOHB+esE2FONwTmf58SxFiCM2&#10;mabpLIKfvP7bWOe/CC1JMEpqwV2ElD1eOY9OkHpICY8pvWy7LvLXqXcOJA4eEQUw/JsV6ARmyAw9&#10;RXJ+LiazcTWbnI6m1SQb5Vl6MqqqdDy6XFZplebLxWl+8QtdSJblxQ4yMRBZAAhALDu23lMSwn/H&#10;iWT8nYKzLInaGeZD4TjnodUkoD+gHCzfr/o9JStdP4ERqwdFO8OXLWC7Ys7fMgsJA2mspb/B0XR6&#10;V1K9tyjZaPvjT/6QjykQpSTMWlL3fcusoKT7qqC50yzPww7FSw7kcLFvI6u3EbWVC42ty/ABMDya&#10;Id93B7OxWj5ge6vwKkJMcbxdUn8wF35YVGw/F1UVk7A1hvkrdWd4KB3YDKK47x+YNXvleMB3rQ/L&#10;w4oPAhpyB8VUW6+bNqorADygCgrCBRsXydh/HcJKv73HrNdv2PwZAAD//wMAUEsDBBQABgAIAAAA&#10;IQCMn2pq3wAAAA0BAAAPAAAAZHJzL2Rvd25yZXYueG1sTI/NTsMwEITvSLyDtUjcWrtRgDrEqRCI&#10;K4jyI3Fz420SEa+j2G3C27M90ePOfJqdKTez78URx9gFMrBaKhBIdXAdNQY+3p8XaxAxWXK2D4QG&#10;fjHCprq8KG3hwkRveNymRnAIxcIaaFMaCilj3aK3cRkGJPb2YfQ28Tk20o124nDfy0ypW+ltR/yh&#10;tQM+tlj/bA/ewOfL/vsrV6/Nk78ZpjArSV5LY66v5od7EAnn9A/DqT5Xh4o77cKBXBS9gcVaa0bZ&#10;yFXOqxjRd9kKxO4k6SwDWZXyfEX1BwAA//8DAFBLAQItABQABgAIAAAAIQDkmcPA+wAAAOEBAAAT&#10;AAAAAAAAAAAAAAAAAAAAAABbQ29udGVudF9UeXBlc10ueG1sUEsBAi0AFAAGAAgAAAAhACOyauHX&#10;AAAAlAEAAAsAAAAAAAAAAAAAAAAALAEAAF9yZWxzLy5yZWxzUEsBAi0AFAAGAAgAAAAhAPNornGC&#10;AgAACwUAAA4AAAAAAAAAAAAAAAAALAIAAGRycy9lMm9Eb2MueG1sUEsBAi0AFAAGAAgAAAAhAIyf&#10;amrfAAAADQEAAA8AAAAAAAAAAAAAAAAA2gQAAGRycy9kb3ducmV2LnhtbFBLBQYAAAAABAAEAPMA&#10;AADmBQAAAAA=&#10;" filled="f" stroked="f">
            <v:textbox>
              <w:txbxContent>
                <w:p w:rsidR="001923DC" w:rsidRPr="00187A8B" w:rsidRDefault="001923DC" w:rsidP="006A1E36">
                  <w:pPr>
                    <w:jc w:val="center"/>
                    <w:rPr>
                      <w:rFonts w:ascii="Calibri" w:hAnsi="Calibri"/>
                      <w:bCs/>
                      <w:i/>
                      <w:iCs/>
                      <w:color w:val="31849B"/>
                    </w:rPr>
                  </w:pPr>
                  <w:r w:rsidRPr="00187A8B">
                    <w:rPr>
                      <w:rFonts w:ascii="Calibri" w:hAnsi="Calibri"/>
                      <w:bCs/>
                      <w:i/>
                      <w:iCs/>
                      <w:color w:val="31849B"/>
                    </w:rPr>
                    <w:t>In Livable Cities is Preservation of the Wild</w:t>
                  </w:r>
                </w:p>
                <w:p w:rsidR="001923DC" w:rsidRPr="00187A8B" w:rsidRDefault="00EF6527" w:rsidP="006A1E36">
                  <w:pPr>
                    <w:jc w:val="center"/>
                    <w:rPr>
                      <w:rFonts w:ascii="Calibri" w:hAnsi="Calibri"/>
                      <w:sz w:val="20"/>
                      <w:szCs w:val="20"/>
                    </w:rPr>
                  </w:pPr>
                  <w:r w:rsidRPr="00187A8B">
                    <w:rPr>
                      <w:rFonts w:ascii="Calibri" w:hAnsi="Calibri"/>
                      <w:sz w:val="20"/>
                      <w:szCs w:val="20"/>
                    </w:rPr>
                    <w:t>P.O. Box 6903  l  Portland, OR 97228-6903  l  503</w:t>
                  </w:r>
                  <w:r w:rsidR="00F771A0" w:rsidRPr="00187A8B">
                    <w:rPr>
                      <w:rFonts w:ascii="Calibri" w:hAnsi="Calibri"/>
                      <w:sz w:val="20"/>
                      <w:szCs w:val="20"/>
                    </w:rPr>
                    <w:t>.</w:t>
                  </w:r>
                  <w:r w:rsidRPr="00187A8B">
                    <w:rPr>
                      <w:rFonts w:ascii="Calibri" w:hAnsi="Calibri"/>
                      <w:sz w:val="20"/>
                      <w:szCs w:val="20"/>
                    </w:rPr>
                    <w:t>319</w:t>
                  </w:r>
                  <w:r w:rsidR="00F771A0" w:rsidRPr="00187A8B">
                    <w:rPr>
                      <w:rFonts w:ascii="Calibri" w:hAnsi="Calibri"/>
                      <w:sz w:val="20"/>
                      <w:szCs w:val="20"/>
                    </w:rPr>
                    <w:t>.</w:t>
                  </w:r>
                  <w:r w:rsidRPr="00187A8B">
                    <w:rPr>
                      <w:rFonts w:ascii="Calibri" w:hAnsi="Calibri"/>
                      <w:sz w:val="20"/>
                      <w:szCs w:val="20"/>
                    </w:rPr>
                    <w:t xml:space="preserve">7155  l  </w:t>
                  </w:r>
                  <w:r w:rsidRPr="00187A8B">
                    <w:rPr>
                      <w:rFonts w:ascii="Calibri" w:hAnsi="Calibri"/>
                      <w:b/>
                      <w:sz w:val="20"/>
                      <w:szCs w:val="20"/>
                    </w:rPr>
                    <w:t>www.urbangreenspaces.org</w:t>
                  </w:r>
                </w:p>
              </w:txbxContent>
            </v:textbox>
            <w10:wrap type="square"/>
          </v:shape>
        </w:pict>
      </w:r>
      <w:r>
        <w:rPr>
          <w:noProof/>
        </w:rPr>
        <w:pict>
          <v:shape id="Text Box 2" o:spid="_x0000_s1026" type="#_x0000_t202" style="position:absolute;left:0;text-align:left;margin-left:-53.95pt;margin-top:108pt;width:117pt;height:405pt;z-index:251657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OMUoMCAAATBQAADgAAAGRycy9lMm9Eb2MueG1srFTJbtswEL0X6D8QvDuSXDmxhciB4sBFgSAJ&#10;kBQ50xRlCxCXknSstOi/95GynaU9FEUv1Gwazrw3w/OLXnbkSVjXalXS7CSlRCiu61atS/r1YTma&#10;UuI8UzXrtBIlfRaOXsw/fjjfmUKM9UZ3tbAESZQrdqakG+9NkSSOb4Rk7kQboeBstJXMQ7XrpLZs&#10;h+yyS8ZpeprstK2N1Vw4B+vV4KTzmL9pBPe3TeOEJ11JUZuPp43nKpzJ/JwVa8vMpuX7Mtg/VCFZ&#10;q3DpMdUV84xsbftbKtlyq51u/AnXMtFN03IRe0A3Wfqum/sNMyL2AnCcOcLk/l9afvN0Z0lbl3RM&#10;iWISFD2I3pNL3ZNxQGdnXIGge4Mw38MMlg92B2Noum+sDF+0Q+AHzs9HbEMyHn7Kp5NZCheHb5Ll&#10;nyZQkD95+d1Y5z8LLUkQSmpBXsSUPV07P4QeQsJtSi/brosEduqNATkHi4gTMPzNCpQCMUSGoiI7&#10;PxaTs3F1NpmNTqtJNsqzdDqqqnQ8ulpWaZXmy8Usv/yJKiTL8mKHOTGYsoAQkFh2bL3nJLj/jhTJ&#10;+JsRzrIkDs/QHxJHSA6lJgH+AeYg+X7VR7KOFKx0/QxmrB4m2xm+bIHeNXP+jlmMMhDHevpbHE2n&#10;dyXVe4mSjbbf/2QP8WgGXkpCyyV137bMCkq6LwqzN8vyPOxSVHIACMW+9qxee9RWLjS2L8NDYHgU&#10;Q7zvDmJjtXzEFlfhVriY4ri7pP4gLvywsHgFuKiqGITtMcxfq3vDQ+pAapiNh/6RWbMfIA8Ub/Rh&#10;iVjxbo6G2GFwqq3XTRuHLOA8oAomgoLNi5zsX4mw2q/1GPXyls1/AQAA//8DAFBLAwQUAAYACAAA&#10;ACEAxY7X5OAAAAANAQAADwAAAGRycy9kb3ducmV2LnhtbEyPQU/DMAyF70j7D5EncduSVlBYaTpN&#10;Q1xBDJi0W9Z4bUXjVE22ln+Pd4Kb7ff0/L1iPblOXHAIrScNyVKBQKq8banW8PnxsngEEaIhazpP&#10;qOEHA6zL2U1hcutHesfLLtaCQyjkRkMTY59LGaoGnQlL3yOxdvKDM5HXoZZ2MCOHu06mSmXSmZb4&#10;Q2N63DZYfe/OTsPX6+mwv1Nv9bO770c/KUluJbW+nU+bJxARp/hnhis+o0PJTEd/JhtEp2GRqIcV&#10;ezWkScatrpY0S0AceVApn2RZyP8tyl8AAAD//wMAUEsBAi0AFAAGAAgAAAAhAOSZw8D7AAAA4QEA&#10;ABMAAAAAAAAAAAAAAAAAAAAAAFtDb250ZW50X1R5cGVzXS54bWxQSwECLQAUAAYACAAAACEAI7Jq&#10;4dcAAACUAQAACwAAAAAAAAAAAAAAAAAsAQAAX3JlbHMvLnJlbHNQSwECLQAUAAYACAAAACEAuOOM&#10;UoMCAAATBQAADgAAAAAAAAAAAAAAAAAsAgAAZHJzL2Uyb0RvYy54bWxQSwECLQAUAAYACAAAACEA&#10;xY7X5OAAAAANAQAADwAAAAAAAAAAAAAAAADbBAAAZHJzL2Rvd25yZXYueG1sUEsFBgAAAAAEAAQA&#10;8wAAAOgFAAAAAA==&#10;" filled="f" stroked="f">
            <v:textbox>
              <w:txbxContent>
                <w:p w:rsidR="001923DC" w:rsidRPr="00187A8B" w:rsidRDefault="001923DC">
                  <w:pPr>
                    <w:rPr>
                      <w:rFonts w:ascii="Calibri" w:hAnsi="Calibri"/>
                      <w:b/>
                      <w:color w:val="31849B"/>
                      <w:sz w:val="20"/>
                      <w:szCs w:val="20"/>
                    </w:rPr>
                  </w:pPr>
                  <w:r w:rsidRPr="00187A8B">
                    <w:rPr>
                      <w:rFonts w:ascii="Calibri" w:hAnsi="Calibri"/>
                      <w:b/>
                      <w:color w:val="31849B"/>
                      <w:sz w:val="20"/>
                      <w:szCs w:val="20"/>
                    </w:rPr>
                    <w:t>STAFF</w:t>
                  </w:r>
                </w:p>
                <w:p w:rsidR="001923DC" w:rsidRPr="00187A8B" w:rsidRDefault="00187A8B">
                  <w:pPr>
                    <w:rPr>
                      <w:rFonts w:ascii="Calibri" w:hAnsi="Calibri"/>
                      <w:b/>
                      <w:sz w:val="18"/>
                      <w:szCs w:val="18"/>
                    </w:rPr>
                  </w:pPr>
                  <w:r w:rsidRPr="00187A8B">
                    <w:rPr>
                      <w:rFonts w:ascii="Calibri" w:hAnsi="Calibri"/>
                      <w:b/>
                      <w:sz w:val="18"/>
                      <w:szCs w:val="18"/>
                    </w:rPr>
                    <w:t>Ted Labbe</w:t>
                  </w:r>
                </w:p>
                <w:p w:rsidR="001923DC" w:rsidRPr="00187A8B" w:rsidRDefault="001923DC">
                  <w:pPr>
                    <w:rPr>
                      <w:rFonts w:ascii="Calibri" w:hAnsi="Calibri"/>
                      <w:i/>
                      <w:sz w:val="18"/>
                      <w:szCs w:val="18"/>
                    </w:rPr>
                  </w:pPr>
                  <w:r w:rsidRPr="00187A8B">
                    <w:rPr>
                      <w:rFonts w:ascii="Calibri" w:hAnsi="Calibri"/>
                      <w:i/>
                      <w:sz w:val="18"/>
                      <w:szCs w:val="18"/>
                    </w:rPr>
                    <w:t>Executive Director</w:t>
                  </w:r>
                </w:p>
                <w:p w:rsidR="001923DC" w:rsidRPr="00187A8B" w:rsidRDefault="001923DC">
                  <w:pPr>
                    <w:rPr>
                      <w:rFonts w:ascii="Calibri" w:hAnsi="Calibri"/>
                      <w:sz w:val="12"/>
                      <w:szCs w:val="12"/>
                    </w:rPr>
                  </w:pPr>
                </w:p>
                <w:p w:rsidR="001923DC" w:rsidRPr="00187A8B" w:rsidRDefault="00187A8B">
                  <w:pPr>
                    <w:rPr>
                      <w:rFonts w:ascii="Calibri" w:hAnsi="Calibri"/>
                      <w:b/>
                      <w:sz w:val="18"/>
                      <w:szCs w:val="18"/>
                    </w:rPr>
                  </w:pPr>
                  <w:r w:rsidRPr="00187A8B">
                    <w:rPr>
                      <w:rFonts w:ascii="Calibri" w:hAnsi="Calibri"/>
                      <w:b/>
                      <w:sz w:val="18"/>
                      <w:szCs w:val="18"/>
                    </w:rPr>
                    <w:t>Mike Houck</w:t>
                  </w:r>
                </w:p>
                <w:p w:rsidR="001923DC" w:rsidRPr="00187A8B" w:rsidRDefault="00187A8B">
                  <w:pPr>
                    <w:rPr>
                      <w:rFonts w:ascii="Calibri" w:hAnsi="Calibri"/>
                      <w:sz w:val="18"/>
                      <w:szCs w:val="18"/>
                    </w:rPr>
                  </w:pPr>
                  <w:r w:rsidRPr="00187A8B">
                    <w:rPr>
                      <w:rFonts w:ascii="Calibri" w:hAnsi="Calibri"/>
                      <w:i/>
                      <w:sz w:val="18"/>
                      <w:szCs w:val="18"/>
                    </w:rPr>
                    <w:t>Urban Naturalist</w:t>
                  </w:r>
                </w:p>
                <w:p w:rsidR="001923DC" w:rsidRPr="00187A8B" w:rsidRDefault="001923DC">
                  <w:pPr>
                    <w:rPr>
                      <w:rFonts w:ascii="Calibri" w:hAnsi="Calibri"/>
                    </w:rPr>
                  </w:pPr>
                </w:p>
                <w:p w:rsidR="001923DC" w:rsidRPr="00187A8B" w:rsidRDefault="001923DC">
                  <w:pPr>
                    <w:rPr>
                      <w:rFonts w:ascii="Calibri" w:hAnsi="Calibri"/>
                      <w:b/>
                      <w:color w:val="31849B"/>
                      <w:sz w:val="20"/>
                      <w:szCs w:val="20"/>
                    </w:rPr>
                  </w:pPr>
                  <w:r w:rsidRPr="00187A8B">
                    <w:rPr>
                      <w:rFonts w:ascii="Calibri" w:hAnsi="Calibri"/>
                      <w:b/>
                      <w:color w:val="31849B"/>
                      <w:sz w:val="20"/>
                      <w:szCs w:val="20"/>
                    </w:rPr>
                    <w:t>OFFICERS</w:t>
                  </w:r>
                </w:p>
                <w:p w:rsidR="001923DC" w:rsidRPr="00187A8B" w:rsidRDefault="001923DC">
                  <w:pPr>
                    <w:rPr>
                      <w:rFonts w:ascii="Calibri" w:hAnsi="Calibri"/>
                      <w:sz w:val="18"/>
                      <w:szCs w:val="18"/>
                    </w:rPr>
                  </w:pPr>
                  <w:r w:rsidRPr="00187A8B">
                    <w:rPr>
                      <w:rFonts w:ascii="Calibri" w:hAnsi="Calibri"/>
                      <w:sz w:val="18"/>
                      <w:szCs w:val="18"/>
                    </w:rPr>
                    <w:t>MJ Cody</w:t>
                  </w:r>
                </w:p>
                <w:p w:rsidR="001923DC" w:rsidRPr="00187A8B" w:rsidRDefault="001923DC">
                  <w:pPr>
                    <w:rPr>
                      <w:rFonts w:ascii="Calibri" w:hAnsi="Calibri"/>
                      <w:i/>
                      <w:sz w:val="18"/>
                      <w:szCs w:val="18"/>
                    </w:rPr>
                  </w:pPr>
                  <w:r w:rsidRPr="00187A8B">
                    <w:rPr>
                      <w:rFonts w:ascii="Calibri" w:hAnsi="Calibri"/>
                      <w:i/>
                      <w:sz w:val="18"/>
                      <w:szCs w:val="18"/>
                    </w:rPr>
                    <w:t>Chair</w:t>
                  </w:r>
                </w:p>
                <w:p w:rsidR="001923DC" w:rsidRPr="00187A8B" w:rsidRDefault="001923DC">
                  <w:pPr>
                    <w:rPr>
                      <w:rFonts w:ascii="Calibri" w:hAnsi="Calibri"/>
                      <w:sz w:val="12"/>
                      <w:szCs w:val="12"/>
                    </w:rPr>
                  </w:pPr>
                </w:p>
                <w:p w:rsidR="001923DC" w:rsidRPr="00187A8B" w:rsidRDefault="001923DC">
                  <w:pPr>
                    <w:rPr>
                      <w:rFonts w:ascii="Calibri" w:hAnsi="Calibri"/>
                      <w:sz w:val="18"/>
                      <w:szCs w:val="18"/>
                    </w:rPr>
                  </w:pPr>
                  <w:r w:rsidRPr="00187A8B">
                    <w:rPr>
                      <w:rFonts w:ascii="Calibri" w:hAnsi="Calibri"/>
                      <w:sz w:val="18"/>
                      <w:szCs w:val="18"/>
                    </w:rPr>
                    <w:t>Mike Faha</w:t>
                  </w:r>
                </w:p>
                <w:p w:rsidR="001923DC" w:rsidRPr="00187A8B" w:rsidRDefault="001923DC">
                  <w:pPr>
                    <w:rPr>
                      <w:rFonts w:ascii="Calibri" w:hAnsi="Calibri"/>
                      <w:i/>
                      <w:sz w:val="18"/>
                      <w:szCs w:val="18"/>
                    </w:rPr>
                  </w:pPr>
                  <w:r w:rsidRPr="00187A8B">
                    <w:rPr>
                      <w:rFonts w:ascii="Calibri" w:hAnsi="Calibri"/>
                      <w:i/>
                      <w:sz w:val="18"/>
                      <w:szCs w:val="18"/>
                    </w:rPr>
                    <w:t>Vice-Chair</w:t>
                  </w:r>
                </w:p>
                <w:p w:rsidR="001923DC" w:rsidRPr="00187A8B" w:rsidRDefault="001923DC">
                  <w:pPr>
                    <w:rPr>
                      <w:rFonts w:ascii="Calibri" w:hAnsi="Calibri"/>
                      <w:sz w:val="12"/>
                      <w:szCs w:val="12"/>
                    </w:rPr>
                  </w:pPr>
                </w:p>
                <w:p w:rsidR="001923DC" w:rsidRPr="00187A8B" w:rsidRDefault="001923DC">
                  <w:pPr>
                    <w:rPr>
                      <w:rFonts w:ascii="Calibri" w:hAnsi="Calibri"/>
                      <w:sz w:val="18"/>
                      <w:szCs w:val="18"/>
                    </w:rPr>
                  </w:pPr>
                  <w:r w:rsidRPr="00187A8B">
                    <w:rPr>
                      <w:rFonts w:ascii="Calibri" w:hAnsi="Calibri"/>
                      <w:sz w:val="18"/>
                      <w:szCs w:val="18"/>
                    </w:rPr>
                    <w:t xml:space="preserve">Bob Wilson </w:t>
                  </w:r>
                </w:p>
                <w:p w:rsidR="001923DC" w:rsidRPr="00187A8B" w:rsidRDefault="001923DC">
                  <w:pPr>
                    <w:rPr>
                      <w:rFonts w:ascii="Calibri" w:hAnsi="Calibri"/>
                      <w:i/>
                      <w:sz w:val="18"/>
                      <w:szCs w:val="18"/>
                    </w:rPr>
                  </w:pPr>
                  <w:r w:rsidRPr="00187A8B">
                    <w:rPr>
                      <w:rFonts w:ascii="Calibri" w:hAnsi="Calibri"/>
                      <w:i/>
                      <w:sz w:val="18"/>
                      <w:szCs w:val="18"/>
                    </w:rPr>
                    <w:t>Secretary-Treasurer</w:t>
                  </w:r>
                </w:p>
                <w:p w:rsidR="001923DC" w:rsidRPr="00187A8B" w:rsidRDefault="001923DC">
                  <w:pPr>
                    <w:rPr>
                      <w:rFonts w:ascii="Calibri" w:hAnsi="Calibri"/>
                    </w:rPr>
                  </w:pPr>
                </w:p>
                <w:p w:rsidR="001923DC" w:rsidRPr="00187A8B" w:rsidRDefault="001923DC">
                  <w:pPr>
                    <w:rPr>
                      <w:rFonts w:ascii="Calibri" w:hAnsi="Calibri"/>
                      <w:b/>
                      <w:color w:val="31849B"/>
                      <w:sz w:val="20"/>
                      <w:szCs w:val="20"/>
                    </w:rPr>
                  </w:pPr>
                  <w:r w:rsidRPr="00187A8B">
                    <w:rPr>
                      <w:rFonts w:ascii="Calibri" w:hAnsi="Calibri"/>
                      <w:b/>
                      <w:color w:val="31849B"/>
                      <w:sz w:val="20"/>
                      <w:szCs w:val="20"/>
                    </w:rPr>
                    <w:t>BOARD</w:t>
                  </w:r>
                </w:p>
                <w:p w:rsidR="00187A8B" w:rsidRPr="00187A8B" w:rsidRDefault="00187A8B" w:rsidP="00920C5F">
                  <w:pPr>
                    <w:spacing w:after="80"/>
                    <w:rPr>
                      <w:rFonts w:ascii="Calibri" w:hAnsi="Calibri"/>
                      <w:sz w:val="18"/>
                      <w:szCs w:val="18"/>
                    </w:rPr>
                  </w:pPr>
                  <w:r w:rsidRPr="00187A8B">
                    <w:rPr>
                      <w:rFonts w:ascii="Calibri" w:hAnsi="Calibri"/>
                      <w:sz w:val="18"/>
                      <w:szCs w:val="18"/>
                    </w:rPr>
                    <w:t>Daniela Brod</w:t>
                  </w:r>
                </w:p>
                <w:p w:rsidR="001923DC" w:rsidRPr="00187A8B" w:rsidRDefault="001923DC" w:rsidP="00920C5F">
                  <w:pPr>
                    <w:spacing w:after="80"/>
                    <w:rPr>
                      <w:rFonts w:ascii="Calibri" w:hAnsi="Calibri"/>
                      <w:sz w:val="18"/>
                      <w:szCs w:val="18"/>
                    </w:rPr>
                  </w:pPr>
                  <w:r w:rsidRPr="00187A8B">
                    <w:rPr>
                      <w:rFonts w:ascii="Calibri" w:hAnsi="Calibri"/>
                      <w:sz w:val="18"/>
                      <w:szCs w:val="18"/>
                    </w:rPr>
                    <w:t>Steffeni Mendoza Gray</w:t>
                  </w:r>
                </w:p>
                <w:p w:rsidR="001923DC" w:rsidRPr="00187A8B" w:rsidRDefault="001923DC" w:rsidP="00920C5F">
                  <w:pPr>
                    <w:spacing w:after="80"/>
                    <w:rPr>
                      <w:rFonts w:ascii="Calibri" w:hAnsi="Calibri"/>
                      <w:sz w:val="18"/>
                      <w:szCs w:val="18"/>
                    </w:rPr>
                  </w:pPr>
                  <w:r w:rsidRPr="00187A8B">
                    <w:rPr>
                      <w:rFonts w:ascii="Calibri" w:hAnsi="Calibri"/>
                      <w:sz w:val="18"/>
                      <w:szCs w:val="18"/>
                    </w:rPr>
                    <w:t>Mel Huie</w:t>
                  </w:r>
                </w:p>
                <w:p w:rsidR="001923DC" w:rsidRPr="00187A8B" w:rsidRDefault="001923DC" w:rsidP="00920C5F">
                  <w:pPr>
                    <w:spacing w:after="80"/>
                    <w:rPr>
                      <w:rFonts w:ascii="Calibri" w:hAnsi="Calibri"/>
                      <w:sz w:val="18"/>
                      <w:szCs w:val="18"/>
                    </w:rPr>
                  </w:pPr>
                  <w:r w:rsidRPr="00187A8B">
                    <w:rPr>
                      <w:rFonts w:ascii="Calibri" w:hAnsi="Calibri"/>
                      <w:sz w:val="18"/>
                      <w:szCs w:val="18"/>
                    </w:rPr>
                    <w:t xml:space="preserve">Tom Liptan </w:t>
                  </w:r>
                </w:p>
                <w:p w:rsidR="001923DC" w:rsidRPr="00187A8B" w:rsidRDefault="001923DC" w:rsidP="00920C5F">
                  <w:pPr>
                    <w:spacing w:after="80"/>
                    <w:rPr>
                      <w:rFonts w:ascii="Calibri" w:hAnsi="Calibri"/>
                      <w:sz w:val="18"/>
                      <w:szCs w:val="18"/>
                    </w:rPr>
                  </w:pPr>
                  <w:r w:rsidRPr="00187A8B">
                    <w:rPr>
                      <w:rFonts w:ascii="Calibri" w:hAnsi="Calibri"/>
                      <w:sz w:val="18"/>
                      <w:szCs w:val="18"/>
                    </w:rPr>
                    <w:t>Kelly Punteney</w:t>
                  </w:r>
                </w:p>
                <w:p w:rsidR="00187A8B" w:rsidRPr="00187A8B" w:rsidRDefault="00187A8B" w:rsidP="00920C5F">
                  <w:pPr>
                    <w:spacing w:after="80"/>
                    <w:rPr>
                      <w:rFonts w:ascii="Calibri" w:hAnsi="Calibri"/>
                      <w:sz w:val="18"/>
                      <w:szCs w:val="18"/>
                    </w:rPr>
                  </w:pPr>
                  <w:r w:rsidRPr="00187A8B">
                    <w:rPr>
                      <w:rFonts w:ascii="Calibri" w:hAnsi="Calibri"/>
                      <w:sz w:val="18"/>
                      <w:szCs w:val="18"/>
                    </w:rPr>
                    <w:t>Nadja Quiroz</w:t>
                  </w:r>
                </w:p>
                <w:p w:rsidR="001923DC" w:rsidRPr="00187A8B" w:rsidRDefault="001923DC" w:rsidP="00920C5F">
                  <w:pPr>
                    <w:spacing w:after="80"/>
                    <w:rPr>
                      <w:rFonts w:ascii="Calibri" w:hAnsi="Calibri"/>
                      <w:sz w:val="18"/>
                      <w:szCs w:val="18"/>
                    </w:rPr>
                  </w:pPr>
                  <w:r w:rsidRPr="00187A8B">
                    <w:rPr>
                      <w:rFonts w:ascii="Calibri" w:hAnsi="Calibri"/>
                      <w:sz w:val="18"/>
                      <w:szCs w:val="18"/>
                    </w:rPr>
                    <w:t>Jim Rapp</w:t>
                  </w:r>
                </w:p>
                <w:p w:rsidR="001923DC" w:rsidRPr="00187A8B" w:rsidRDefault="001923DC" w:rsidP="00920C5F">
                  <w:pPr>
                    <w:spacing w:after="80"/>
                    <w:rPr>
                      <w:rFonts w:ascii="Calibri" w:hAnsi="Calibri"/>
                      <w:sz w:val="18"/>
                      <w:szCs w:val="18"/>
                    </w:rPr>
                  </w:pPr>
                  <w:r w:rsidRPr="00187A8B">
                    <w:rPr>
                      <w:rFonts w:ascii="Calibri" w:hAnsi="Calibri"/>
                      <w:sz w:val="18"/>
                      <w:szCs w:val="18"/>
                    </w:rPr>
                    <w:t>Ruth Roth</w:t>
                  </w:r>
                </w:p>
                <w:p w:rsidR="001923DC" w:rsidRPr="00187A8B" w:rsidRDefault="001923DC" w:rsidP="00920C5F">
                  <w:pPr>
                    <w:spacing w:after="80"/>
                    <w:rPr>
                      <w:rFonts w:ascii="Calibri" w:hAnsi="Calibri"/>
                      <w:sz w:val="18"/>
                      <w:szCs w:val="18"/>
                    </w:rPr>
                  </w:pPr>
                  <w:r w:rsidRPr="00187A8B">
                    <w:rPr>
                      <w:rFonts w:ascii="Calibri" w:hAnsi="Calibri"/>
                      <w:sz w:val="18"/>
                      <w:szCs w:val="18"/>
                    </w:rPr>
                    <w:t>Judy Bluehorse Skelton</w:t>
                  </w:r>
                </w:p>
                <w:p w:rsidR="001923DC" w:rsidRDefault="001923DC"/>
              </w:txbxContent>
            </v:textbox>
            <w10:wrap type="square"/>
          </v:shape>
        </w:pict>
      </w:r>
      <w:r w:rsidR="0030467D">
        <w:rPr>
          <w:noProof/>
        </w:rPr>
        <w:drawing>
          <wp:inline distT="0" distB="0" distL="0" distR="0">
            <wp:extent cx="818515" cy="112077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18515" cy="1120775"/>
                    </a:xfrm>
                    <a:prstGeom prst="rect">
                      <a:avLst/>
                    </a:prstGeom>
                    <a:noFill/>
                    <a:ln w="9525">
                      <a:noFill/>
                      <a:miter lim="800000"/>
                      <a:headEnd/>
                      <a:tailEnd/>
                    </a:ln>
                  </pic:spPr>
                </pic:pic>
              </a:graphicData>
            </a:graphic>
          </wp:inline>
        </w:drawing>
      </w:r>
      <w:r w:rsidR="00BC2D67" w:rsidRPr="00BC2D67">
        <w:t xml:space="preserve"> </w:t>
      </w:r>
      <w:r w:rsidR="00BC2D67">
        <w:t xml:space="preserve">                    </w:t>
      </w:r>
      <w:r w:rsidR="00361283">
        <w:t>June 10</w:t>
      </w:r>
      <w:bookmarkStart w:id="0" w:name="_GoBack"/>
      <w:bookmarkEnd w:id="0"/>
      <w:r w:rsidR="00D51238">
        <w:t xml:space="preserve">, </w:t>
      </w:r>
      <w:r w:rsidR="00BC2D67">
        <w:rPr>
          <w:noProof/>
        </w:rPr>
        <w:t>2020</w:t>
      </w:r>
    </w:p>
    <w:p w:rsidR="00BC2D67" w:rsidRDefault="00BC2D67" w:rsidP="00BC2D67">
      <w:pPr>
        <w:ind w:left="-990" w:right="-540"/>
        <w:rPr>
          <w:noProof/>
        </w:rPr>
      </w:pPr>
    </w:p>
    <w:p w:rsidR="00BC2D67" w:rsidRDefault="00BC2D67" w:rsidP="00BC2D67">
      <w:pPr>
        <w:ind w:left="-990" w:right="-540"/>
        <w:rPr>
          <w:noProof/>
        </w:rPr>
      </w:pPr>
      <w:r>
        <w:rPr>
          <w:noProof/>
        </w:rPr>
        <w:t>To:  Portland Design Commission</w:t>
      </w:r>
    </w:p>
    <w:p w:rsidR="00BC2D67" w:rsidRDefault="00BC2D67" w:rsidP="00BC2D67">
      <w:pPr>
        <w:ind w:left="-990" w:right="-540"/>
        <w:rPr>
          <w:noProof/>
        </w:rPr>
      </w:pPr>
      <w:r>
        <w:rPr>
          <w:noProof/>
        </w:rPr>
        <w:t>From: Mike Houck</w:t>
      </w:r>
    </w:p>
    <w:p w:rsidR="00BC2D67" w:rsidRDefault="00BC2D67" w:rsidP="00BC2D67">
      <w:pPr>
        <w:ind w:left="-990" w:right="-540"/>
        <w:rPr>
          <w:noProof/>
        </w:rPr>
      </w:pPr>
      <w:r>
        <w:rPr>
          <w:noProof/>
        </w:rPr>
        <w:t xml:space="preserve">Re:  Comments, </w:t>
      </w:r>
      <w:r w:rsidR="00D51238" w:rsidRPr="00D51238">
        <w:rPr>
          <w:noProof/>
        </w:rPr>
        <w:t>LU 20-102914 DZM GW</w:t>
      </w:r>
      <w:r w:rsidR="00D51238">
        <w:rPr>
          <w:noProof/>
        </w:rPr>
        <w:t xml:space="preserve">, </w:t>
      </w:r>
      <w:r>
        <w:rPr>
          <w:noProof/>
        </w:rPr>
        <w:t>Alamo Manhattan</w:t>
      </w:r>
    </w:p>
    <w:p w:rsidR="00BC2D67" w:rsidRDefault="00BC2D67" w:rsidP="00BC2D67">
      <w:pPr>
        <w:ind w:left="-990" w:right="-540"/>
        <w:rPr>
          <w:noProof/>
        </w:rPr>
      </w:pPr>
    </w:p>
    <w:p w:rsidR="00BC2D67" w:rsidRDefault="00BC2D67" w:rsidP="00BC2D67">
      <w:pPr>
        <w:ind w:left="-990" w:right="-540"/>
        <w:rPr>
          <w:noProof/>
        </w:rPr>
      </w:pPr>
      <w:r>
        <w:rPr>
          <w:noProof/>
        </w:rPr>
        <w:t>Chair Livingston and Commissioners,</w:t>
      </w:r>
    </w:p>
    <w:p w:rsidR="00BC2D67" w:rsidRDefault="00BC2D67" w:rsidP="00BC2D67">
      <w:pPr>
        <w:ind w:left="-990" w:right="-540"/>
        <w:rPr>
          <w:noProof/>
        </w:rPr>
      </w:pPr>
    </w:p>
    <w:p w:rsidR="00D51238" w:rsidRDefault="00BC2D67" w:rsidP="00BC2D67">
      <w:pPr>
        <w:ind w:left="-990" w:right="-540"/>
        <w:rPr>
          <w:noProof/>
        </w:rPr>
      </w:pPr>
      <w:r>
        <w:rPr>
          <w:noProof/>
        </w:rPr>
        <w:t xml:space="preserve">I am writing </w:t>
      </w:r>
      <w:r w:rsidR="00D51238">
        <w:rPr>
          <w:noProof/>
        </w:rPr>
        <w:t>on behalf of the Urban Greenspaces Institute to provide our input on the current iteration of the proposed Alamo Manhattan project. We appreciate the fact that the applicant has responded positively to many of our earlier objections regarding the Greenway design.  Specifically, we are pleased that trees have been added to subarea two and subarea</w:t>
      </w:r>
      <w:r w:rsidR="009B2636">
        <w:rPr>
          <w:noProof/>
        </w:rPr>
        <w:t>s</w:t>
      </w:r>
      <w:r w:rsidR="00D51238">
        <w:rPr>
          <w:noProof/>
        </w:rPr>
        <w:t xml:space="preserve"> 1</w:t>
      </w:r>
      <w:r w:rsidR="009B2636">
        <w:rPr>
          <w:noProof/>
        </w:rPr>
        <w:t xml:space="preserve"> and 2</w:t>
      </w:r>
      <w:r w:rsidR="00D51238">
        <w:rPr>
          <w:noProof/>
        </w:rPr>
        <w:t>.  The staff report states that the additional trees were in accordance with the city’s Urban Forester.  We will assume that means the applicant intends to provide larger form trees and native species.</w:t>
      </w:r>
    </w:p>
    <w:p w:rsidR="00D51238" w:rsidRDefault="00D51238" w:rsidP="00BC2D67">
      <w:pPr>
        <w:ind w:left="-990" w:right="-540"/>
        <w:rPr>
          <w:noProof/>
        </w:rPr>
      </w:pPr>
    </w:p>
    <w:p w:rsidR="00006797" w:rsidRDefault="00D51238" w:rsidP="00006797">
      <w:pPr>
        <w:ind w:left="-990" w:right="-540"/>
        <w:rPr>
          <w:noProof/>
        </w:rPr>
      </w:pPr>
      <w:r>
        <w:rPr>
          <w:noProof/>
        </w:rPr>
        <w:t xml:space="preserve">That said, </w:t>
      </w:r>
      <w:r w:rsidR="00BC2D67">
        <w:rPr>
          <w:noProof/>
        </w:rPr>
        <w:t xml:space="preserve">I want to reiterate </w:t>
      </w:r>
      <w:r>
        <w:rPr>
          <w:noProof/>
        </w:rPr>
        <w:t xml:space="preserve">our earlier position that the </w:t>
      </w:r>
      <w:r w:rsidR="00BC2D67">
        <w:rPr>
          <w:noProof/>
        </w:rPr>
        <w:t xml:space="preserve">Greenway design </w:t>
      </w:r>
      <w:r>
        <w:rPr>
          <w:noProof/>
        </w:rPr>
        <w:t xml:space="preserve">be </w:t>
      </w:r>
      <w:r w:rsidR="00BC2D67">
        <w:rPr>
          <w:noProof/>
        </w:rPr>
        <w:t xml:space="preserve">equal in quality and performance to that of the Greenway to the north at South Waterfront.  The Greenway is not an “amenity.”  It’s an essential element of the city’s infrastructure and a resource of regional significance.  </w:t>
      </w:r>
      <w:r w:rsidR="00AD454D">
        <w:rPr>
          <w:noProof/>
        </w:rPr>
        <w:t xml:space="preserve">This leads to our </w:t>
      </w:r>
      <w:r>
        <w:rPr>
          <w:noProof/>
        </w:rPr>
        <w:t>outstanding concern</w:t>
      </w:r>
      <w:r w:rsidR="00006797">
        <w:rPr>
          <w:noProof/>
        </w:rPr>
        <w:t>, which result</w:t>
      </w:r>
      <w:r w:rsidR="009B2636">
        <w:rPr>
          <w:noProof/>
        </w:rPr>
        <w:t>s</w:t>
      </w:r>
      <w:r w:rsidR="00006797">
        <w:rPr>
          <w:noProof/>
        </w:rPr>
        <w:t xml:space="preserve"> in our opposing approval of the project</w:t>
      </w:r>
      <w:r w:rsidR="009B2636">
        <w:rPr>
          <w:noProof/>
        </w:rPr>
        <w:t xml:space="preserve"> as proposed in the staff report</w:t>
      </w:r>
      <w:r w:rsidR="00AD454D">
        <w:rPr>
          <w:noProof/>
        </w:rPr>
        <w:t xml:space="preserve">.  On </w:t>
      </w:r>
      <w:r w:rsidR="00006797">
        <w:rPr>
          <w:noProof/>
        </w:rPr>
        <w:t xml:space="preserve">page 41 of the staff report, </w:t>
      </w:r>
      <w:r w:rsidR="00AD454D">
        <w:rPr>
          <w:noProof/>
        </w:rPr>
        <w:t xml:space="preserve">staff indicates as a condition of approval: </w:t>
      </w:r>
      <w:r w:rsidR="00006797">
        <w:rPr>
          <w:noProof/>
        </w:rPr>
        <w:t xml:space="preserve">D.2, </w:t>
      </w:r>
      <w:r w:rsidR="00006797" w:rsidRPr="00006797">
        <w:rPr>
          <w:i/>
          <w:noProof/>
        </w:rPr>
        <w:t xml:space="preserve">Prior to occupancy of the first building permit on the site, all greenway improvements approved under this review must be installed in conformance with Exhibits C.259 through C.266. Or, if improvements are deferred, a performance guarantee must be provided per 33.510.253.D.4.b and all improvements must be installed </w:t>
      </w:r>
      <w:r w:rsidR="00006797" w:rsidRPr="00006797">
        <w:rPr>
          <w:i/>
          <w:noProof/>
          <w:u w:val="single"/>
        </w:rPr>
        <w:t>within 4 years</w:t>
      </w:r>
      <w:r w:rsidR="00006797" w:rsidRPr="00006797">
        <w:rPr>
          <w:i/>
          <w:noProof/>
        </w:rPr>
        <w:t xml:space="preserve"> of occupancy of the first building on the site</w:t>
      </w:r>
      <w:r w:rsidR="00006797">
        <w:rPr>
          <w:noProof/>
        </w:rPr>
        <w:t xml:space="preserve">. </w:t>
      </w:r>
    </w:p>
    <w:p w:rsidR="00006797" w:rsidRDefault="00006797" w:rsidP="00006797">
      <w:pPr>
        <w:ind w:left="-990" w:right="-540"/>
        <w:rPr>
          <w:noProof/>
        </w:rPr>
      </w:pPr>
    </w:p>
    <w:p w:rsidR="00006797" w:rsidRPr="00006797" w:rsidRDefault="00006797" w:rsidP="00006797">
      <w:pPr>
        <w:ind w:left="-990" w:right="-540"/>
        <w:rPr>
          <w:i/>
          <w:noProof/>
        </w:rPr>
      </w:pPr>
      <w:r>
        <w:rPr>
          <w:noProof/>
        </w:rPr>
        <w:t xml:space="preserve">Not withstanding the staff note: </w:t>
      </w:r>
      <w:r w:rsidRPr="00006797">
        <w:rPr>
          <w:i/>
          <w:noProof/>
        </w:rPr>
        <w:t>Note: LU 17-160442 LDS, condition C.2</w:t>
      </w:r>
    </w:p>
    <w:p w:rsidR="00006797" w:rsidRPr="00006797" w:rsidRDefault="00006797" w:rsidP="00006797">
      <w:pPr>
        <w:ind w:left="-990" w:right="-540"/>
        <w:rPr>
          <w:i/>
          <w:noProof/>
        </w:rPr>
      </w:pPr>
      <w:r w:rsidRPr="00006797">
        <w:rPr>
          <w:i/>
          <w:noProof/>
        </w:rPr>
        <w:t>requires the applicant to install, at a minimum, one of the required greenway trails</w:t>
      </w:r>
    </w:p>
    <w:p w:rsidR="00AD454D" w:rsidRDefault="00006797" w:rsidP="00006797">
      <w:pPr>
        <w:ind w:left="-990" w:right="-540"/>
        <w:rPr>
          <w:noProof/>
        </w:rPr>
      </w:pPr>
      <w:r w:rsidRPr="00006797">
        <w:rPr>
          <w:i/>
          <w:noProof/>
        </w:rPr>
        <w:t xml:space="preserve">prior to occupancy of buildings on </w:t>
      </w:r>
      <w:r>
        <w:rPr>
          <w:i/>
          <w:noProof/>
        </w:rPr>
        <w:t xml:space="preserve">Lots 1 and 4 (Blocks 41 and 44), </w:t>
      </w:r>
      <w:r w:rsidR="00AD454D">
        <w:rPr>
          <w:noProof/>
        </w:rPr>
        <w:t>granting a</w:t>
      </w:r>
      <w:r>
        <w:rPr>
          <w:noProof/>
        </w:rPr>
        <w:t xml:space="preserve"> </w:t>
      </w:r>
      <w:r w:rsidRPr="00006797">
        <w:rPr>
          <w:noProof/>
          <w:u w:val="single"/>
        </w:rPr>
        <w:t>four year delay</w:t>
      </w:r>
      <w:r>
        <w:rPr>
          <w:noProof/>
        </w:rPr>
        <w:t xml:space="preserve"> in installation of the Greenway is unacceptable.  As we have stated repeatedly in our earlier testimony</w:t>
      </w:r>
      <w:r w:rsidR="00AD454D">
        <w:rPr>
          <w:noProof/>
        </w:rPr>
        <w:t>,</w:t>
      </w:r>
      <w:r>
        <w:rPr>
          <w:noProof/>
        </w:rPr>
        <w:t xml:space="preserve"> the Greeway is not an amenity, an “add on”</w:t>
      </w:r>
      <w:r w:rsidR="00AD454D">
        <w:rPr>
          <w:noProof/>
        </w:rPr>
        <w:t>,</w:t>
      </w:r>
      <w:r>
        <w:rPr>
          <w:noProof/>
        </w:rPr>
        <w:t xml:space="preserve"> to be completed on a delayed time table after occupation of the buildings.  We request the Design Commission deny approval of the project unless there is concurrent installation of the </w:t>
      </w:r>
      <w:r w:rsidR="009B2636">
        <w:rPr>
          <w:noProof/>
        </w:rPr>
        <w:t xml:space="preserve">full </w:t>
      </w:r>
      <w:r>
        <w:rPr>
          <w:noProof/>
        </w:rPr>
        <w:t>Greenway</w:t>
      </w:r>
      <w:r w:rsidR="009B2636">
        <w:rPr>
          <w:noProof/>
        </w:rPr>
        <w:t xml:space="preserve"> plan</w:t>
      </w:r>
      <w:r>
        <w:rPr>
          <w:noProof/>
        </w:rPr>
        <w:t xml:space="preserve"> with completion of the buildings.  </w:t>
      </w:r>
    </w:p>
    <w:p w:rsidR="00C47AEA" w:rsidRDefault="00C47AEA" w:rsidP="00006797">
      <w:pPr>
        <w:ind w:left="-990" w:right="-540"/>
        <w:rPr>
          <w:noProof/>
        </w:rPr>
      </w:pPr>
    </w:p>
    <w:p w:rsidR="00BC2D67" w:rsidRDefault="00AD454D" w:rsidP="00006797">
      <w:pPr>
        <w:ind w:left="-990" w:right="-540"/>
        <w:rPr>
          <w:noProof/>
        </w:rPr>
      </w:pPr>
      <w:r w:rsidRPr="00AD454D">
        <w:rPr>
          <w:noProof/>
        </w:rPr>
        <w:t>During exchanges between Commissioner</w:t>
      </w:r>
      <w:r>
        <w:rPr>
          <w:noProof/>
        </w:rPr>
        <w:t>s</w:t>
      </w:r>
      <w:r w:rsidRPr="00AD454D">
        <w:rPr>
          <w:noProof/>
        </w:rPr>
        <w:t xml:space="preserve"> and applicant </w:t>
      </w:r>
      <w:r>
        <w:rPr>
          <w:noProof/>
        </w:rPr>
        <w:t xml:space="preserve">at earlier hearings </w:t>
      </w:r>
      <w:r w:rsidRPr="00AD454D">
        <w:rPr>
          <w:noProof/>
        </w:rPr>
        <w:t>it was suggested the Commission might approve the height bonus contingent on the applicant’s initially installing a “base line” Greenway design and commit to an “enhanced” design at some point in the future.  We would oppose such an arrangement.  If the bonus is granted based on an “enhanced” Greenway and additional public benefit the design should be installed up front, not at an uncertain future date.</w:t>
      </w:r>
    </w:p>
    <w:p w:rsidR="00C47AEA" w:rsidRDefault="00C47AEA" w:rsidP="00006797">
      <w:pPr>
        <w:ind w:left="-990" w:right="-540"/>
        <w:rPr>
          <w:noProof/>
        </w:rPr>
      </w:pPr>
      <w:r>
        <w:rPr>
          <w:noProof/>
        </w:rPr>
        <w:lastRenderedPageBreak/>
        <w:t>This raises another issue we addressed in earlier testimony as well.  Our understanding is Prosper Portland continues to express an interest in a partnership agreement that would provide additional funding to allow for an enhanced Greenway.  We continue to support that effort and hope the applicant will engage with Prosper Portland, Portland Parks and Recreation, and urge the Design Commission to press the applicant on this issue.</w:t>
      </w:r>
    </w:p>
    <w:p w:rsidR="00006797" w:rsidRDefault="00006797" w:rsidP="00006797">
      <w:pPr>
        <w:ind w:left="-990" w:right="-540"/>
        <w:rPr>
          <w:noProof/>
        </w:rPr>
      </w:pPr>
    </w:p>
    <w:p w:rsidR="00006797" w:rsidRDefault="00006797" w:rsidP="00BC2D67">
      <w:pPr>
        <w:ind w:left="-990" w:right="-540"/>
        <w:rPr>
          <w:noProof/>
        </w:rPr>
      </w:pPr>
      <w:r>
        <w:rPr>
          <w:noProof/>
        </w:rPr>
        <w:t>Additional concerns we ask the Commission to address:</w:t>
      </w:r>
    </w:p>
    <w:p w:rsidR="00006797" w:rsidRDefault="00006797" w:rsidP="00BC2D67">
      <w:pPr>
        <w:ind w:left="-990" w:right="-540"/>
        <w:rPr>
          <w:noProof/>
        </w:rPr>
      </w:pPr>
    </w:p>
    <w:p w:rsidR="00AD454D" w:rsidRDefault="00006797" w:rsidP="00C47AEA">
      <w:pPr>
        <w:numPr>
          <w:ilvl w:val="0"/>
          <w:numId w:val="1"/>
        </w:numPr>
        <w:ind w:right="-540"/>
        <w:rPr>
          <w:noProof/>
        </w:rPr>
      </w:pPr>
      <w:r>
        <w:rPr>
          <w:noProof/>
        </w:rPr>
        <w:t xml:space="preserve"> </w:t>
      </w:r>
      <w:r w:rsidR="00C47AEA">
        <w:rPr>
          <w:noProof/>
        </w:rPr>
        <w:t xml:space="preserve">Building 41 continues to </w:t>
      </w:r>
      <w:r>
        <w:rPr>
          <w:noProof/>
        </w:rPr>
        <w:t>abut the Greenway</w:t>
      </w:r>
      <w:r w:rsidR="00AD454D">
        <w:rPr>
          <w:noProof/>
        </w:rPr>
        <w:t xml:space="preserve"> to closely</w:t>
      </w:r>
      <w:r w:rsidR="00C47AEA">
        <w:rPr>
          <w:noProof/>
        </w:rPr>
        <w:t xml:space="preserve">. </w:t>
      </w:r>
      <w:r w:rsidR="00C47AEA" w:rsidRPr="00C47AEA">
        <w:rPr>
          <w:noProof/>
        </w:rPr>
        <w:t>Planters, which are meant to define public from private space, encroach into the Gr</w:t>
      </w:r>
      <w:r w:rsidR="00C47AEA">
        <w:rPr>
          <w:noProof/>
        </w:rPr>
        <w:t>eenway setback in the SE corner.</w:t>
      </w:r>
    </w:p>
    <w:p w:rsidR="0033682C" w:rsidRDefault="00AD454D" w:rsidP="0033682C">
      <w:pPr>
        <w:numPr>
          <w:ilvl w:val="0"/>
          <w:numId w:val="1"/>
        </w:numPr>
        <w:ind w:right="-540"/>
        <w:rPr>
          <w:noProof/>
        </w:rPr>
      </w:pPr>
      <w:r>
        <w:rPr>
          <w:noProof/>
        </w:rPr>
        <w:t>While the applicant plans to screen the concrete pier we continue to feel the pier represents a hazard that should be removed not merely screened.</w:t>
      </w:r>
    </w:p>
    <w:p w:rsidR="00FD1ECB" w:rsidRPr="00FD1ECB" w:rsidRDefault="00BC2D67" w:rsidP="00FD1ECB">
      <w:pPr>
        <w:numPr>
          <w:ilvl w:val="0"/>
          <w:numId w:val="1"/>
        </w:numPr>
        <w:rPr>
          <w:noProof/>
        </w:rPr>
      </w:pPr>
      <w:r>
        <w:rPr>
          <w:noProof/>
        </w:rPr>
        <w:t>W</w:t>
      </w:r>
      <w:r w:rsidR="00AD454D">
        <w:rPr>
          <w:noProof/>
        </w:rPr>
        <w:t>ith regard to vegetation we are</w:t>
      </w:r>
      <w:r>
        <w:rPr>
          <w:noProof/>
        </w:rPr>
        <w:t xml:space="preserve"> pleased that the applicant </w:t>
      </w:r>
      <w:r w:rsidR="00AD454D">
        <w:rPr>
          <w:noProof/>
        </w:rPr>
        <w:t xml:space="preserve">has </w:t>
      </w:r>
      <w:r>
        <w:rPr>
          <w:noProof/>
        </w:rPr>
        <w:t xml:space="preserve">agreed to respond positively to the city’s Urban Forestry Division with regard to substituting larger form trees, use of species listed by Forestry, and the addition of </w:t>
      </w:r>
      <w:r w:rsidR="00AD454D">
        <w:rPr>
          <w:noProof/>
        </w:rPr>
        <w:t xml:space="preserve">14 additional </w:t>
      </w:r>
      <w:r>
        <w:rPr>
          <w:noProof/>
        </w:rPr>
        <w:t>trees in Subarea 2</w:t>
      </w:r>
      <w:r w:rsidR="00AD454D">
        <w:rPr>
          <w:noProof/>
        </w:rPr>
        <w:t xml:space="preserve"> and 10 trees in subarea It is not clear, however, whether the applicant has responded to </w:t>
      </w:r>
      <w:r>
        <w:rPr>
          <w:noProof/>
        </w:rPr>
        <w:t xml:space="preserve">Commissioner Santner’s recommendation to beef up the shrub layer with larger form shrubs to create a “layering” effect from </w:t>
      </w:r>
      <w:r w:rsidR="00AD454D">
        <w:rPr>
          <w:noProof/>
        </w:rPr>
        <w:t xml:space="preserve">the </w:t>
      </w:r>
      <w:r>
        <w:rPr>
          <w:noProof/>
        </w:rPr>
        <w:t xml:space="preserve">larger form trees to multiple layers of shrubs and ground cover that would be more diverse in diversity of species and form.  </w:t>
      </w:r>
      <w:r w:rsidR="00FD1ECB">
        <w:rPr>
          <w:noProof/>
        </w:rPr>
        <w:t xml:space="preserve">However, the landsape graphics are confusing in that there is no legend that provides information on what the different colors represent e. g. pink and lavender in particular. </w:t>
      </w:r>
    </w:p>
    <w:p w:rsidR="00BC2D67" w:rsidRDefault="00BC2D67" w:rsidP="00AD454D">
      <w:pPr>
        <w:numPr>
          <w:ilvl w:val="0"/>
          <w:numId w:val="1"/>
        </w:numPr>
        <w:ind w:right="-540"/>
        <w:rPr>
          <w:noProof/>
        </w:rPr>
      </w:pPr>
      <w:r w:rsidRPr="00AD454D">
        <w:rPr>
          <w:noProof/>
        </w:rPr>
        <w:t>Pilings:</w:t>
      </w:r>
      <w:r>
        <w:rPr>
          <w:noProof/>
        </w:rPr>
        <w:t xml:space="preserve"> </w:t>
      </w:r>
      <w:r w:rsidR="0033682C">
        <w:rPr>
          <w:noProof/>
        </w:rPr>
        <w:t xml:space="preserve"> In addition to removal of the wooden pier, i</w:t>
      </w:r>
      <w:r w:rsidR="00AD454D">
        <w:rPr>
          <w:noProof/>
        </w:rPr>
        <w:t xml:space="preserve">t’s unclear whether the applicant will remove all pilings which we have requested in earlier comments.  </w:t>
      </w:r>
      <w:r>
        <w:rPr>
          <w:noProof/>
        </w:rPr>
        <w:t xml:space="preserve">   </w:t>
      </w:r>
    </w:p>
    <w:p w:rsidR="00BC2D67" w:rsidRDefault="00BC2D67" w:rsidP="00BC2D67">
      <w:pPr>
        <w:ind w:left="-990" w:right="-540"/>
        <w:rPr>
          <w:noProof/>
        </w:rPr>
      </w:pPr>
    </w:p>
    <w:p w:rsidR="00BC2D67" w:rsidRDefault="00BC2D67" w:rsidP="00BC2D67">
      <w:pPr>
        <w:ind w:left="-990" w:right="-540"/>
        <w:rPr>
          <w:noProof/>
        </w:rPr>
      </w:pPr>
      <w:r>
        <w:rPr>
          <w:noProof/>
        </w:rPr>
        <w:t>Respectfully,</w:t>
      </w:r>
    </w:p>
    <w:p w:rsidR="00BC2D67" w:rsidRDefault="0030467D" w:rsidP="00BC2D67">
      <w:pPr>
        <w:ind w:left="-990" w:right="-540"/>
        <w:rPr>
          <w:noProof/>
        </w:rPr>
      </w:pPr>
      <w:r>
        <w:rPr>
          <w:noProof/>
        </w:rPr>
        <w:drawing>
          <wp:inline distT="0" distB="0" distL="0" distR="0">
            <wp:extent cx="1353185" cy="306070"/>
            <wp:effectExtent l="19050" t="0" r="0" b="0"/>
            <wp:docPr id="2" name="Picture 2" descr="M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signature"/>
                    <pic:cNvPicPr>
                      <a:picLocks noChangeAspect="1" noChangeArrowheads="1"/>
                    </pic:cNvPicPr>
                  </pic:nvPicPr>
                  <pic:blipFill>
                    <a:blip r:embed="rId9"/>
                    <a:srcRect/>
                    <a:stretch>
                      <a:fillRect/>
                    </a:stretch>
                  </pic:blipFill>
                  <pic:spPr bwMode="auto">
                    <a:xfrm>
                      <a:off x="0" y="0"/>
                      <a:ext cx="1353185" cy="306070"/>
                    </a:xfrm>
                    <a:prstGeom prst="rect">
                      <a:avLst/>
                    </a:prstGeom>
                    <a:noFill/>
                    <a:ln w="9525">
                      <a:noFill/>
                      <a:miter lim="800000"/>
                      <a:headEnd/>
                      <a:tailEnd/>
                    </a:ln>
                  </pic:spPr>
                </pic:pic>
              </a:graphicData>
            </a:graphic>
          </wp:inline>
        </w:drawing>
      </w:r>
      <w:r w:rsidR="00BC2D67">
        <w:rPr>
          <w:noProof/>
        </w:rPr>
        <w:tab/>
      </w:r>
      <w:r w:rsidR="00BC2D67">
        <w:rPr>
          <w:noProof/>
        </w:rPr>
        <w:tab/>
      </w:r>
      <w:r w:rsidR="00BC2D67">
        <w:rPr>
          <w:noProof/>
        </w:rPr>
        <w:tab/>
        <w:t xml:space="preserve"> </w:t>
      </w:r>
    </w:p>
    <w:p w:rsidR="00A87308" w:rsidRDefault="00BC2D67" w:rsidP="00BC2D67">
      <w:pPr>
        <w:ind w:left="-990" w:right="-540"/>
      </w:pPr>
      <w:r>
        <w:rPr>
          <w:noProof/>
        </w:rPr>
        <w:t>Mike Houck</w:t>
      </w:r>
    </w:p>
    <w:sectPr w:rsidR="00A87308" w:rsidSect="00EF6527">
      <w:pgSz w:w="12240" w:h="15840"/>
      <w:pgMar w:top="7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98" w:rsidRDefault="00127298" w:rsidP="001923DC">
      <w:r>
        <w:separator/>
      </w:r>
    </w:p>
  </w:endnote>
  <w:endnote w:type="continuationSeparator" w:id="0">
    <w:p w:rsidR="00127298" w:rsidRDefault="00127298" w:rsidP="00192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98" w:rsidRDefault="00127298" w:rsidP="001923DC">
      <w:r>
        <w:separator/>
      </w:r>
    </w:p>
  </w:footnote>
  <w:footnote w:type="continuationSeparator" w:id="0">
    <w:p w:rsidR="00127298" w:rsidRDefault="00127298" w:rsidP="00192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11D1D"/>
    <w:multiLevelType w:val="hybridMultilevel"/>
    <w:tmpl w:val="A8901FB6"/>
    <w:lvl w:ilvl="0" w:tplc="8C52BDFA">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20"/>
  <w:characterSpacingControl w:val="doNotCompress"/>
  <w:footnotePr>
    <w:footnote w:id="-1"/>
    <w:footnote w:id="0"/>
  </w:footnotePr>
  <w:endnotePr>
    <w:endnote w:id="-1"/>
    <w:endnote w:id="0"/>
  </w:endnotePr>
  <w:compat>
    <w:useFELayout/>
  </w:compat>
  <w:rsids>
    <w:rsidRoot w:val="00BC2D67"/>
    <w:rsid w:val="00006797"/>
    <w:rsid w:val="00064D20"/>
    <w:rsid w:val="00127298"/>
    <w:rsid w:val="00147061"/>
    <w:rsid w:val="00187A8B"/>
    <w:rsid w:val="001923DC"/>
    <w:rsid w:val="00200BA8"/>
    <w:rsid w:val="002E21D1"/>
    <w:rsid w:val="0030467D"/>
    <w:rsid w:val="0033682C"/>
    <w:rsid w:val="00361283"/>
    <w:rsid w:val="00512878"/>
    <w:rsid w:val="00531778"/>
    <w:rsid w:val="005C58FD"/>
    <w:rsid w:val="006A1E36"/>
    <w:rsid w:val="00920C5F"/>
    <w:rsid w:val="009B2636"/>
    <w:rsid w:val="00A87308"/>
    <w:rsid w:val="00AD454D"/>
    <w:rsid w:val="00BC2D67"/>
    <w:rsid w:val="00C04C81"/>
    <w:rsid w:val="00C213B1"/>
    <w:rsid w:val="00C47AEA"/>
    <w:rsid w:val="00CA4EF3"/>
    <w:rsid w:val="00D51238"/>
    <w:rsid w:val="00EF6527"/>
    <w:rsid w:val="00F771A0"/>
    <w:rsid w:val="00FD1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64D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C5F"/>
    <w:rPr>
      <w:rFonts w:ascii="Lucida Grande" w:hAnsi="Lucida Grande" w:cs="Lucida Grande"/>
      <w:sz w:val="18"/>
      <w:szCs w:val="18"/>
    </w:rPr>
  </w:style>
  <w:style w:type="character" w:customStyle="1" w:styleId="BalloonTextChar">
    <w:name w:val="Balloon Text Char"/>
    <w:link w:val="BalloonText"/>
    <w:uiPriority w:val="99"/>
    <w:semiHidden/>
    <w:rsid w:val="00920C5F"/>
    <w:rPr>
      <w:rFonts w:ascii="Lucida Grande" w:hAnsi="Lucida Grande" w:cs="Lucida Grande"/>
      <w:sz w:val="18"/>
      <w:szCs w:val="18"/>
    </w:rPr>
  </w:style>
  <w:style w:type="paragraph" w:styleId="Header">
    <w:name w:val="header"/>
    <w:basedOn w:val="Normal"/>
    <w:link w:val="HeaderChar"/>
    <w:uiPriority w:val="99"/>
    <w:unhideWhenUsed/>
    <w:rsid w:val="001923DC"/>
    <w:pPr>
      <w:tabs>
        <w:tab w:val="center" w:pos="4320"/>
        <w:tab w:val="right" w:pos="8640"/>
      </w:tabs>
    </w:pPr>
  </w:style>
  <w:style w:type="character" w:customStyle="1" w:styleId="HeaderChar">
    <w:name w:val="Header Char"/>
    <w:basedOn w:val="DefaultParagraphFont"/>
    <w:link w:val="Header"/>
    <w:uiPriority w:val="99"/>
    <w:rsid w:val="001923DC"/>
  </w:style>
  <w:style w:type="paragraph" w:styleId="Footer">
    <w:name w:val="footer"/>
    <w:basedOn w:val="Normal"/>
    <w:link w:val="FooterChar"/>
    <w:uiPriority w:val="99"/>
    <w:unhideWhenUsed/>
    <w:rsid w:val="001923DC"/>
    <w:pPr>
      <w:tabs>
        <w:tab w:val="center" w:pos="4320"/>
        <w:tab w:val="right" w:pos="8640"/>
      </w:tabs>
    </w:pPr>
  </w:style>
  <w:style w:type="character" w:customStyle="1" w:styleId="FooterChar">
    <w:name w:val="Footer Char"/>
    <w:basedOn w:val="DefaultParagraphFont"/>
    <w:link w:val="Footer"/>
    <w:uiPriority w:val="99"/>
    <w:rsid w:val="00192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Houck\AppData\Local\Temp\UGI%20letterhead_rev20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2C82-7F3B-46A6-9676-DE60EDB3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UGI letterhead_rev2020-2</Template>
  <TotalTime>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Jeanne Galick Graphic Design</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Houck</dc:creator>
  <cp:lastModifiedBy>themonroes</cp:lastModifiedBy>
  <cp:revision>2</cp:revision>
  <cp:lastPrinted>2020-06-10T17:16:00Z</cp:lastPrinted>
  <dcterms:created xsi:type="dcterms:W3CDTF">2020-06-10T18:03:00Z</dcterms:created>
  <dcterms:modified xsi:type="dcterms:W3CDTF">2020-06-10T18:03:00Z</dcterms:modified>
</cp:coreProperties>
</file>