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2DD4" w14:textId="77777777" w:rsidR="00E02FB1" w:rsidRPr="00A808B5" w:rsidRDefault="00F177BD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, sans-serif" w:hAnsi="Calibri, sans-serif"/>
          <w:b/>
          <w:color w:val="000000"/>
          <w:sz w:val="28"/>
          <w:szCs w:val="28"/>
        </w:rPr>
        <w:t>Draft Fair Housing Pr</w:t>
      </w:r>
      <w:r w:rsidR="000F1A91">
        <w:rPr>
          <w:rFonts w:ascii="Calibri, sans-serif" w:hAnsi="Calibri, sans-serif"/>
          <w:b/>
          <w:color w:val="000000"/>
          <w:sz w:val="28"/>
          <w:szCs w:val="28"/>
        </w:rPr>
        <w:t>oclamation Presentation April 11</w:t>
      </w:r>
      <w:r w:rsidRPr="00F177BD">
        <w:rPr>
          <w:rFonts w:ascii="Calibri, sans-serif" w:hAnsi="Calibri, sans-serif"/>
          <w:b/>
          <w:color w:val="000000"/>
          <w:sz w:val="28"/>
          <w:szCs w:val="28"/>
          <w:vertAlign w:val="superscript"/>
        </w:rPr>
        <w:t>th</w:t>
      </w:r>
      <w:r>
        <w:rPr>
          <w:rFonts w:ascii="Calibri, sans-serif" w:hAnsi="Calibri, sans-serif"/>
          <w:b/>
          <w:color w:val="000000"/>
          <w:sz w:val="28"/>
          <w:szCs w:val="28"/>
        </w:rPr>
        <w:t xml:space="preserve"> </w:t>
      </w:r>
    </w:p>
    <w:p w14:paraId="3D62FCA7" w14:textId="77777777" w:rsidR="00F177BD" w:rsidRDefault="00F177BD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</w:p>
    <w:p w14:paraId="198355F5" w14:textId="6CBAFD8D" w:rsidR="00F177BD" w:rsidRDefault="00F177BD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 w:rsidRPr="00F177BD">
        <w:rPr>
          <w:rFonts w:ascii="Calibri, sans-serif" w:hAnsi="Calibri, sans-serif"/>
          <w:b/>
          <w:color w:val="000000"/>
          <w:sz w:val="28"/>
          <w:szCs w:val="28"/>
        </w:rPr>
        <w:t>Run of Show</w:t>
      </w:r>
      <w:r w:rsidR="00DD439A">
        <w:rPr>
          <w:rFonts w:ascii="Calibri, sans-serif" w:hAnsi="Calibri, sans-serif"/>
          <w:b/>
          <w:color w:val="000000"/>
          <w:sz w:val="28"/>
          <w:szCs w:val="28"/>
        </w:rPr>
        <w:t xml:space="preserve"> Breakfast (50 people)</w:t>
      </w:r>
    </w:p>
    <w:p w14:paraId="2D0248F9" w14:textId="40EF4D34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April 10</w:t>
      </w:r>
    </w:p>
    <w:p w14:paraId="48B5F687" w14:textId="249CC36F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Set up tables and displays April 10</w:t>
      </w:r>
      <w:r w:rsidRPr="00DD439A">
        <w:rPr>
          <w:rFonts w:ascii="Calibri, sans-serif" w:hAnsi="Calibri, sans-serif"/>
          <w:b/>
          <w:color w:val="000000"/>
          <w:sz w:val="28"/>
          <w:szCs w:val="28"/>
          <w:vertAlign w:val="superscript"/>
        </w:rPr>
        <w:t>th</w:t>
      </w:r>
      <w:r>
        <w:rPr>
          <w:rFonts w:ascii="Calibri, sans-serif" w:hAnsi="Calibri, sans-serif"/>
          <w:b/>
          <w:color w:val="000000"/>
          <w:sz w:val="28"/>
          <w:szCs w:val="28"/>
        </w:rPr>
        <w:t xml:space="preserve"> </w:t>
      </w:r>
    </w:p>
    <w:p w14:paraId="1EA6A692" w14:textId="7E3A7B65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April 11</w:t>
      </w:r>
      <w:r w:rsidRPr="00DD439A">
        <w:rPr>
          <w:rFonts w:ascii="Calibri, sans-serif" w:hAnsi="Calibri, sans-serif"/>
          <w:b/>
          <w:color w:val="000000"/>
          <w:sz w:val="28"/>
          <w:szCs w:val="28"/>
          <w:vertAlign w:val="superscript"/>
        </w:rPr>
        <w:t>th</w:t>
      </w:r>
      <w:r>
        <w:rPr>
          <w:rFonts w:ascii="Calibri, sans-serif" w:hAnsi="Calibri, sans-serif"/>
          <w:b/>
          <w:color w:val="000000"/>
          <w:sz w:val="28"/>
          <w:szCs w:val="28"/>
        </w:rPr>
        <w:t xml:space="preserve"> </w:t>
      </w:r>
    </w:p>
    <w:p w14:paraId="2C25E9C9" w14:textId="0CCFE591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 xml:space="preserve">7:00 am set up, food </w:t>
      </w:r>
    </w:p>
    <w:p w14:paraId="3535658E" w14:textId="32EA0278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7:30 am open for seating, pastries, coffee</w:t>
      </w:r>
    </w:p>
    <w:p w14:paraId="566D810C" w14:textId="67C808A8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 xml:space="preserve">8:00 am start meeting </w:t>
      </w:r>
    </w:p>
    <w:p w14:paraId="0000FBE9" w14:textId="5AF6E668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8:05 presentation Karen Gibson</w:t>
      </w:r>
    </w:p>
    <w:p w14:paraId="4CF21CA4" w14:textId="6C33BAE1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8:30 presentation FHCO</w:t>
      </w:r>
    </w:p>
    <w:p w14:paraId="545F34AF" w14:textId="5C3B0159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9:00 conversation</w:t>
      </w:r>
    </w:p>
    <w:p w14:paraId="5472AE7B" w14:textId="07C2ACAF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9:30 conclude</w:t>
      </w:r>
    </w:p>
    <w:p w14:paraId="574EDF02" w14:textId="07CE351C" w:rsidR="00DD439A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</w:p>
    <w:p w14:paraId="0CD81D6F" w14:textId="5E2D1A8E" w:rsidR="00DD439A" w:rsidRPr="00A94013" w:rsidRDefault="00DD439A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Run of Sho</w:t>
      </w:r>
      <w:r w:rsidR="00B10EAF">
        <w:rPr>
          <w:rFonts w:ascii="Calibri, sans-serif" w:hAnsi="Calibri, sans-serif"/>
          <w:b/>
          <w:color w:val="000000"/>
          <w:sz w:val="28"/>
          <w:szCs w:val="28"/>
        </w:rPr>
        <w:t xml:space="preserve">w Fair Housing Act Proclamation, City Hall 2 pm. </w:t>
      </w:r>
    </w:p>
    <w:p w14:paraId="5E854FD3" w14:textId="170A4A8F" w:rsidR="00E02FB1" w:rsidRPr="008F563C" w:rsidRDefault="00E02FB1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</w:p>
    <w:p w14:paraId="523B7DA2" w14:textId="01E8168C" w:rsidR="00A80634" w:rsidRDefault="00A80634" w:rsidP="00A808B5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1925"/>
        <w:gridCol w:w="3212"/>
        <w:gridCol w:w="1052"/>
      </w:tblGrid>
      <w:tr w:rsidR="00D728DB" w:rsidRPr="00DD439A" w14:paraId="318EC158" w14:textId="77777777" w:rsidTr="00DD439A"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2D81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933E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color w:val="000000"/>
                <w:sz w:val="28"/>
                <w:szCs w:val="28"/>
              </w:rPr>
              <w:t>Persons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8225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color w:val="000000"/>
                <w:sz w:val="28"/>
                <w:szCs w:val="28"/>
              </w:rPr>
              <w:t>Orgs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B05E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D728DB" w:rsidRPr="00DD439A" w14:paraId="6F3867BD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137A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Opening Remarks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1D3E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Mayor Wheeler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98E9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Mayor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DDC3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41C2C0F9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BF0F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Proclamation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6F6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Mayor Wheeler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4684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Mayor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0633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00E86F4E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E041" w14:textId="2C68FE3C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FHAC remarks,</w:t>
            </w:r>
            <w:r w:rsidR="003A1E21" w:rsidRPr="00DD439A">
              <w:rPr>
                <w:sz w:val="28"/>
                <w:szCs w:val="28"/>
              </w:rPr>
              <w:t xml:space="preserve"> </w:t>
            </w:r>
            <w:r w:rsidRPr="00DD439A">
              <w:rPr>
                <w:sz w:val="28"/>
                <w:szCs w:val="28"/>
              </w:rPr>
              <w:t xml:space="preserve">Duty to Affirmatively Further Fair Housing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089D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 xml:space="preserve">Jason </w:t>
            </w:r>
            <w:proofErr w:type="spellStart"/>
            <w:r w:rsidRPr="00DD439A">
              <w:rPr>
                <w:color w:val="000000"/>
                <w:sz w:val="28"/>
                <w:szCs w:val="28"/>
              </w:rPr>
              <w:t>Trombley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3133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FHAC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33EA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09B3F123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A7E6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PHB FH Strategy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14F9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Shannon Callahan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6190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PHB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8145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558ED8B6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809D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Demographic Data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A04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Kim McCarty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7346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FHAC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F368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1AAC6360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A8BD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Preference Policy Data/ takings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46B5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Victoria James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64BF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PHB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C8CE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76E7E9CB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19DD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Racial Covenants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11C6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Gretchen Smith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8E47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PSU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2038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0557FD39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0EB4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Homelessness and Race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CFE7" w14:textId="709A8566" w:rsidR="00D728DB" w:rsidRPr="00DD439A" w:rsidRDefault="00BC6C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B9D2" w14:textId="77777777" w:rsidR="00D728DB" w:rsidRPr="00DD439A" w:rsidRDefault="00D728D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Multnomah County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6C28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3A1E21" w:rsidRPr="00DD439A" w14:paraId="5EDA8E11" w14:textId="77777777" w:rsidTr="00BC6C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80F4" w14:textId="193E7ED7" w:rsidR="003A1E21" w:rsidRPr="00DD439A" w:rsidRDefault="00BC6C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Overview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E6CF" w14:textId="760D6F04" w:rsidR="003A1E21" w:rsidRPr="00DD439A" w:rsidRDefault="00BC6C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Olsen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68B2" w14:textId="55B05F1C" w:rsidR="003A1E21" w:rsidRPr="00DD439A" w:rsidRDefault="00BC6C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31CE" w14:textId="00B6E87F" w:rsidR="003A1E21" w:rsidRPr="00DD439A" w:rsidRDefault="004E79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6C5E" w:rsidRPr="00DD439A" w14:paraId="5FF92739" w14:textId="77777777" w:rsidTr="00BC6C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756C" w14:textId="54E84034" w:rsidR="00BC6C5E" w:rsidRDefault="00BC6C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Policy Overview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965E" w14:textId="596C1CD7" w:rsidR="00BC6C5E" w:rsidRPr="00DD439A" w:rsidRDefault="00BC6C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Allan </w:t>
            </w:r>
            <w:proofErr w:type="spellStart"/>
            <w:r>
              <w:rPr>
                <w:sz w:val="28"/>
                <w:szCs w:val="28"/>
              </w:rPr>
              <w:t>Lazo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75D" w14:textId="4556F94A" w:rsidR="00BC6C5E" w:rsidRPr="00DD439A" w:rsidRDefault="00BC6C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FHCO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D2DC" w14:textId="0401F5FB" w:rsidR="00BC6C5E" w:rsidRPr="00DD439A" w:rsidRDefault="004E79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28DB" w:rsidRPr="00DD439A" w14:paraId="12FFE9DC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1A26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i/>
                <w:iCs/>
                <w:sz w:val="28"/>
                <w:szCs w:val="28"/>
              </w:rPr>
              <w:t>Protected Class Comments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DE41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0ACE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343E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D728DB" w:rsidRPr="00DD439A" w14:paraId="095D7186" w14:textId="77777777" w:rsidTr="00BC6C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621D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Race/Color-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FC23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Dung Ho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CE36" w14:textId="71E5356F" w:rsidR="00D728DB" w:rsidRPr="00DD439A" w:rsidRDefault="00B10EAF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CAT/</w:t>
            </w:r>
            <w:r w:rsidR="00D728DB" w:rsidRPr="00DD439A">
              <w:rPr>
                <w:sz w:val="28"/>
                <w:szCs w:val="28"/>
              </w:rPr>
              <w:t xml:space="preserve">Urban League/ </w:t>
            </w:r>
            <w:r w:rsidR="003A1E21" w:rsidRPr="00DD439A">
              <w:rPr>
                <w:sz w:val="28"/>
                <w:szCs w:val="28"/>
              </w:rPr>
              <w:t>SEI/</w:t>
            </w:r>
            <w:r w:rsidR="00D728DB" w:rsidRPr="00DD439A">
              <w:rPr>
                <w:sz w:val="28"/>
                <w:szCs w:val="28"/>
              </w:rPr>
              <w:t>NAYA/APANO –(Dung)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E56D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728DB" w:rsidRPr="00DD439A" w14:paraId="1977CA9A" w14:textId="77777777" w:rsidTr="00BC6C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DCF2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lastRenderedPageBreak/>
              <w:t>Ethnicity/Color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23C0" w14:textId="583D928A" w:rsidR="00D728DB" w:rsidRPr="00DD439A" w:rsidRDefault="00DD439A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Delores</w:t>
            </w:r>
            <w:r w:rsidR="007D097F">
              <w:rPr>
                <w:sz w:val="28"/>
                <w:szCs w:val="28"/>
              </w:rPr>
              <w:t xml:space="preserve"> Burgo</w:t>
            </w:r>
            <w:r w:rsidR="00B10EAF">
              <w:rPr>
                <w:sz w:val="28"/>
                <w:szCs w:val="28"/>
              </w:rPr>
              <w:t>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75EA" w14:textId="67C57F17" w:rsidR="00D728DB" w:rsidRPr="00DD439A" w:rsidRDefault="00DD439A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NAYA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3A8C" w14:textId="77777777" w:rsidR="00D728DB" w:rsidRPr="00DD439A" w:rsidRDefault="00D728DB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D439A" w:rsidRPr="00DD439A" w14:paraId="6B022810" w14:textId="77777777" w:rsidTr="00BC6C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E7EC" w14:textId="65322704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National Origin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1E7" w14:textId="17F65B25" w:rsidR="00DD439A" w:rsidRPr="00DD439A" w:rsidRDefault="00DD439A" w:rsidP="00DD439A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Patricia Rojas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EB75" w14:textId="3E057202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El </w:t>
            </w:r>
            <w:proofErr w:type="spellStart"/>
            <w:r w:rsidRPr="00DD439A">
              <w:rPr>
                <w:sz w:val="28"/>
                <w:szCs w:val="28"/>
              </w:rPr>
              <w:t>Programa</w:t>
            </w:r>
            <w:proofErr w:type="spellEnd"/>
            <w:r w:rsidRPr="00DD439A">
              <w:rPr>
                <w:sz w:val="28"/>
                <w:szCs w:val="28"/>
              </w:rPr>
              <w:t>/Catholic Charities (Patricia Rojas)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E0F7" w14:textId="0A7E5D72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439A" w:rsidRPr="00DD439A" w14:paraId="31A8DAAD" w14:textId="77777777" w:rsidTr="00BC6C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4333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Religion – IRCO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B96A" w14:textId="28F805D5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190F" w14:textId="3F43D966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IRCO, Unite Oregon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3089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439A" w:rsidRPr="00DD439A" w14:paraId="1CF2321C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EFB2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Gender/Gender Identity/Transgender/ Sexual Orientation –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5922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1C2E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Outside In (?)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FEB4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D439A" w:rsidRPr="00DD439A" w14:paraId="79BD6990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132C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Domestic Violence/Stalking-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3EE6" w14:textId="62BCF2E8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Katrina Holland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D512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Volunteers of America/ CAT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F360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DD439A" w:rsidRPr="00DD439A" w14:paraId="4886DEBE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1539" w14:textId="3D01181E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Family and Marital Status –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FC8D" w14:textId="6E06FED4" w:rsidR="00DD439A" w:rsidRPr="00DD439A" w:rsidRDefault="00DD439A" w:rsidP="00DD439A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Abby Ahern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AD0C" w14:textId="1D6AF33E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 xml:space="preserve">Reach, Human Solutions,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A112" w14:textId="2B025E7A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95E" w:rsidRPr="00DD439A" w14:paraId="6A7DCA2F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949A" w14:textId="77777777" w:rsidR="004E795E" w:rsidRPr="00DD439A" w:rsidRDefault="004E795E" w:rsidP="00DD439A">
            <w:pPr>
              <w:pStyle w:val="m3554687426289177269m-3445519480251573080standard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D73" w14:textId="77777777" w:rsidR="004E795E" w:rsidRPr="00DD439A" w:rsidRDefault="004E795E" w:rsidP="00DD439A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1C6A" w14:textId="77777777" w:rsidR="004E795E" w:rsidRPr="00DD439A" w:rsidRDefault="004E795E" w:rsidP="00DD439A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EBB9" w14:textId="77777777" w:rsidR="004E795E" w:rsidRPr="00DD439A" w:rsidRDefault="004E795E" w:rsidP="00DD439A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</w:p>
        </w:tc>
      </w:tr>
      <w:tr w:rsidR="00DD439A" w:rsidRPr="00DD439A" w14:paraId="7A14CD2A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A249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Age/Disability/Chemical Dependency-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B6CA" w14:textId="7508CF25" w:rsidR="00DD439A" w:rsidRPr="00DD439A" w:rsidRDefault="00BC6C5E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4E795E">
              <w:rPr>
                <w:color w:val="000000"/>
                <w:sz w:val="28"/>
                <w:szCs w:val="28"/>
              </w:rPr>
              <w:t xml:space="preserve">Tom Stenson and Matt </w:t>
            </w:r>
            <w:proofErr w:type="spellStart"/>
            <w:r w:rsidRPr="004E795E">
              <w:rPr>
                <w:color w:val="000000"/>
                <w:sz w:val="28"/>
                <w:szCs w:val="28"/>
              </w:rPr>
              <w:t>Serres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4F5A" w14:textId="0F7F4E4B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Disability Rights Oregon, NW Pilot Project,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2616" w14:textId="77777777" w:rsidR="00DD439A" w:rsidRPr="00DD439A" w:rsidRDefault="00DD439A" w:rsidP="00DD439A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4E795E" w:rsidRPr="00DD439A" w14:paraId="63B82B7F" w14:textId="77777777" w:rsidTr="004E79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39C6" w14:textId="360362A5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Veterans –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6972" w14:textId="3AEC16A1" w:rsidR="004E795E" w:rsidRPr="004E795E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38D1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943F" w14:textId="0E2CEB4B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4E795E" w:rsidRPr="00DD439A" w14:paraId="5022B4B3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1459" w14:textId="2B78BD05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Source of Income –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6FD2" w14:textId="51F83864" w:rsidR="004E795E" w:rsidRPr="00DD439A" w:rsidRDefault="004E795E" w:rsidP="004E795E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Betty Dominguez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D529" w14:textId="3A982A6C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Home Forward-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41C3" w14:textId="7AA03FC2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4E795E" w:rsidRPr="00DD439A" w14:paraId="2E17A19F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C6C9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Age –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D0AD" w14:textId="3AF553BE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 xml:space="preserve">Allan </w:t>
            </w:r>
            <w:proofErr w:type="spellStart"/>
            <w:r w:rsidRPr="00DD439A">
              <w:rPr>
                <w:color w:val="000000"/>
                <w:sz w:val="28"/>
                <w:szCs w:val="28"/>
              </w:rPr>
              <w:t>DeLaTorre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Laura </w:t>
            </w:r>
            <w:proofErr w:type="spellStart"/>
            <w:r>
              <w:rPr>
                <w:color w:val="000000"/>
                <w:sz w:val="28"/>
                <w:szCs w:val="28"/>
              </w:rPr>
              <w:t>Golino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de Lovato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7DDF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 xml:space="preserve">Portland Plan on Aging/ Outside-In/AARP- </w:t>
            </w:r>
            <w:proofErr w:type="spellStart"/>
            <w:r w:rsidRPr="00DD439A">
              <w:rPr>
                <w:sz w:val="28"/>
                <w:szCs w:val="28"/>
              </w:rPr>
              <w:t>DeLaTorre</w:t>
            </w:r>
            <w:proofErr w:type="spellEnd"/>
            <w:r w:rsidRPr="00DD439A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C20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3</w:t>
            </w:r>
          </w:p>
        </w:tc>
      </w:tr>
      <w:tr w:rsidR="004E795E" w:rsidRPr="00DD439A" w14:paraId="71BAEB69" w14:textId="77777777" w:rsidTr="00B10EAF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3EEA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Criminal Background –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6C59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 xml:space="preserve">Debra </w:t>
            </w:r>
            <w:proofErr w:type="spellStart"/>
            <w:r w:rsidRPr="00DD439A">
              <w:rPr>
                <w:color w:val="000000"/>
                <w:sz w:val="28"/>
                <w:szCs w:val="28"/>
              </w:rPr>
              <w:t>Imse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8E44" w14:textId="2A8E314F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Multnomah County Public Defenders, LASO, Multifamily NW</w:t>
            </w:r>
            <w:r>
              <w:rPr>
                <w:color w:val="000000"/>
                <w:sz w:val="28"/>
                <w:szCs w:val="28"/>
              </w:rPr>
              <w:t>/</w:t>
            </w:r>
            <w:r w:rsidRPr="00DD439A">
              <w:rPr>
                <w:sz w:val="28"/>
                <w:szCs w:val="28"/>
              </w:rPr>
              <w:t xml:space="preserve"> Rental Housing Alliance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8AF7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95E" w:rsidRPr="00DD439A" w14:paraId="323DC98A" w14:textId="77777777" w:rsidTr="00B10EAF">
        <w:trPr>
          <w:trHeight w:val="908"/>
        </w:trPr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1880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sz w:val="28"/>
                <w:szCs w:val="28"/>
              </w:rPr>
              <w:t>Segregation/Displacement- PAALF/CAT- (Joy and Maxine)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BBFE" w14:textId="013FDB5D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 xml:space="preserve">Joy </w:t>
            </w:r>
            <w:proofErr w:type="spellStart"/>
            <w:r w:rsidRPr="00DD439A">
              <w:rPr>
                <w:color w:val="000000"/>
                <w:sz w:val="28"/>
                <w:szCs w:val="28"/>
              </w:rPr>
              <w:t>Alise</w:t>
            </w:r>
            <w:proofErr w:type="spellEnd"/>
            <w:r w:rsidRPr="00DD439A">
              <w:rPr>
                <w:color w:val="000000"/>
                <w:sz w:val="28"/>
                <w:szCs w:val="28"/>
              </w:rPr>
              <w:t xml:space="preserve"> Davis and Maxine Fitzpatrick/ Jerome Brooks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E2C8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PAALF/CAT/PCRI/Housing Oregon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CE87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95E" w:rsidRPr="00DD439A" w14:paraId="0708F2BD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8B54" w14:textId="760D8BBE" w:rsidR="004E795E" w:rsidRPr="00DD439A" w:rsidRDefault="004E795E" w:rsidP="004E7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0F9" w14:textId="23B13813" w:rsidR="004E795E" w:rsidRPr="00DD439A" w:rsidRDefault="004E795E" w:rsidP="004E7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F7C9" w14:textId="52D72B9E" w:rsidR="004E795E" w:rsidRPr="00DD439A" w:rsidRDefault="004E795E" w:rsidP="004E7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A015" w14:textId="1BF9A261" w:rsidR="004E795E" w:rsidRPr="00DD439A" w:rsidRDefault="004E795E" w:rsidP="004E7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E795E" w:rsidRPr="00DD439A" w14:paraId="1900301B" w14:textId="77777777" w:rsidTr="004E795E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FD78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City Council Comments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E95E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All Commissioners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8FE4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0861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E795E" w:rsidRPr="00DD439A" w14:paraId="7988BD8D" w14:textId="77777777" w:rsidTr="00B10EAF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3E7F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Poster Contest Intro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694F" w14:textId="4D4453B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Allan </w:t>
            </w:r>
            <w:proofErr w:type="spellStart"/>
            <w:r>
              <w:rPr>
                <w:color w:val="000000"/>
                <w:sz w:val="28"/>
                <w:szCs w:val="28"/>
              </w:rPr>
              <w:t>Lazo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and </w:t>
            </w:r>
            <w:r w:rsidRPr="00DD439A">
              <w:rPr>
                <w:color w:val="000000"/>
                <w:sz w:val="28"/>
                <w:szCs w:val="28"/>
              </w:rPr>
              <w:t>Ed Washington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B937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FHCO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51B1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95E" w:rsidRPr="00DD439A" w14:paraId="1DA29333" w14:textId="77777777" w:rsidTr="00B10EAF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CAA7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Contest Winners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2907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F2DF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School Kids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1C1E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95E" w:rsidRPr="00DD439A" w14:paraId="7297A0DF" w14:textId="77777777" w:rsidTr="00B10EAF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DF60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Sign Posters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232A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F26E" w14:textId="5CD5D310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Commissioners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21D4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E795E" w:rsidRPr="00DD439A" w14:paraId="4A15E5AF" w14:textId="77777777" w:rsidTr="00B10EAF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8991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lastRenderedPageBreak/>
              <w:t>Photos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5193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3C56" w14:textId="1C1927A5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All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711B" w14:textId="77777777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E795E" w:rsidRPr="00DD439A" w14:paraId="25B4B8B6" w14:textId="77777777" w:rsidTr="00B10EAF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D22C" w14:textId="5BC2E926" w:rsidR="004E795E" w:rsidRPr="00DD439A" w:rsidRDefault="004E795E" w:rsidP="004E795E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City Commissioners comments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A20C" w14:textId="5F772D1F" w:rsidR="004E795E" w:rsidRPr="00DD439A" w:rsidRDefault="004E795E" w:rsidP="004E795E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All Commissioners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8BD0" w14:textId="56B7688F" w:rsidR="004E795E" w:rsidRPr="00DD439A" w:rsidRDefault="004E795E" w:rsidP="004E795E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824D" w14:textId="0E811E91" w:rsidR="004E795E" w:rsidRPr="00DD439A" w:rsidRDefault="004E795E" w:rsidP="004E795E">
            <w:pPr>
              <w:pStyle w:val="m3554687426289177269m-3445519480251573080standard"/>
              <w:rPr>
                <w:color w:val="000000"/>
                <w:sz w:val="28"/>
                <w:szCs w:val="28"/>
              </w:rPr>
            </w:pPr>
            <w:r w:rsidRPr="00DD439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E795E" w:rsidRPr="00DD439A" w14:paraId="379B29D1" w14:textId="77777777" w:rsidTr="00DD439A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525A" w14:textId="729D89C1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101F" w14:textId="6D305799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75C3" w14:textId="42E88482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A776" w14:textId="577F1F81" w:rsidR="004E795E" w:rsidRPr="00DD439A" w:rsidRDefault="004E795E" w:rsidP="004E795E">
            <w:pPr>
              <w:pStyle w:val="m3554687426289177269m-3445519480251573080standard"/>
              <w:rPr>
                <w:sz w:val="28"/>
                <w:szCs w:val="28"/>
              </w:rPr>
            </w:pPr>
          </w:p>
        </w:tc>
      </w:tr>
    </w:tbl>
    <w:p w14:paraId="574A680C" w14:textId="77777777" w:rsidR="00A80634" w:rsidRPr="008F563C" w:rsidRDefault="00A80634" w:rsidP="00A808B5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</w:p>
    <w:p w14:paraId="456E0227" w14:textId="77777777" w:rsidR="00A80634" w:rsidRDefault="00A80634" w:rsidP="00A808B5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</w:p>
    <w:p w14:paraId="21D63685" w14:textId="64584ED0" w:rsidR="00A808B5" w:rsidRPr="00A808B5" w:rsidRDefault="007D69E1" w:rsidP="00A808B5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Suggested talking points</w:t>
      </w:r>
      <w:r w:rsidR="00AC0CEE">
        <w:rPr>
          <w:rFonts w:ascii="Calibri, sans-serif" w:hAnsi="Calibri, sans-serif"/>
          <w:b/>
          <w:color w:val="000000"/>
          <w:sz w:val="28"/>
          <w:szCs w:val="28"/>
        </w:rPr>
        <w:t xml:space="preserve"> </w:t>
      </w:r>
      <w:r w:rsidR="00BC6C5E">
        <w:rPr>
          <w:rFonts w:ascii="Calibri, sans-serif" w:hAnsi="Calibri, sans-serif"/>
          <w:b/>
          <w:color w:val="000000"/>
          <w:sz w:val="28"/>
          <w:szCs w:val="28"/>
        </w:rPr>
        <w:t>for the Mayor (6</w:t>
      </w:r>
      <w:r w:rsidR="00AC0CEE">
        <w:rPr>
          <w:rFonts w:ascii="Calibri, sans-serif" w:hAnsi="Calibri, sans-serif"/>
          <w:b/>
          <w:color w:val="000000"/>
          <w:sz w:val="28"/>
          <w:szCs w:val="28"/>
        </w:rPr>
        <w:t xml:space="preserve"> min)</w:t>
      </w:r>
    </w:p>
    <w:p w14:paraId="2707DAFB" w14:textId="42C551C4" w:rsidR="00607B2C" w:rsidRDefault="00607B2C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</w:p>
    <w:p w14:paraId="1082645B" w14:textId="2CBAA006" w:rsidR="00607B2C" w:rsidRDefault="00607B2C" w:rsidP="00607B2C">
      <w:pPr>
        <w:pStyle w:val="Standard"/>
        <w:numPr>
          <w:ilvl w:val="0"/>
          <w:numId w:val="10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Housing Discrimination History</w:t>
      </w:r>
    </w:p>
    <w:p w14:paraId="548388EB" w14:textId="0E99E15F" w:rsidR="00607B2C" w:rsidRDefault="00607B2C" w:rsidP="00607B2C">
      <w:pPr>
        <w:pStyle w:val="Standard"/>
        <w:numPr>
          <w:ilvl w:val="0"/>
          <w:numId w:val="10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Rental Housing Crisis</w:t>
      </w:r>
    </w:p>
    <w:p w14:paraId="4A150C43" w14:textId="72F1885E" w:rsidR="00607B2C" w:rsidRDefault="00607B2C" w:rsidP="00607B2C">
      <w:pPr>
        <w:pStyle w:val="Standard"/>
        <w:numPr>
          <w:ilvl w:val="0"/>
          <w:numId w:val="10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Displacement Impacts on households of color</w:t>
      </w:r>
    </w:p>
    <w:p w14:paraId="370985EB" w14:textId="11DC22A4" w:rsidR="00607B2C" w:rsidRDefault="00607B2C" w:rsidP="00607B2C">
      <w:pPr>
        <w:pStyle w:val="Standard"/>
        <w:numPr>
          <w:ilvl w:val="0"/>
          <w:numId w:val="10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Role of government to affirmatively further fair housing</w:t>
      </w:r>
    </w:p>
    <w:p w14:paraId="4529A972" w14:textId="7E53887E" w:rsidR="00E37D8E" w:rsidRDefault="00E37D8E" w:rsidP="00607B2C">
      <w:pPr>
        <w:pStyle w:val="Standard"/>
        <w:numPr>
          <w:ilvl w:val="0"/>
          <w:numId w:val="10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Bureaus working together to address housing</w:t>
      </w:r>
    </w:p>
    <w:p w14:paraId="28DE7521" w14:textId="668621A3" w:rsidR="00607B2C" w:rsidRPr="00CC7EB0" w:rsidRDefault="00E37D8E" w:rsidP="00CC7EB0">
      <w:pPr>
        <w:pStyle w:val="Standard"/>
        <w:numPr>
          <w:ilvl w:val="0"/>
          <w:numId w:val="10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 xml:space="preserve">Example SW </w:t>
      </w:r>
      <w:r w:rsidR="00CC7EB0">
        <w:rPr>
          <w:rFonts w:ascii="Calibri, sans-serif" w:hAnsi="Calibri, sans-serif"/>
          <w:color w:val="000000"/>
          <w:sz w:val="28"/>
          <w:szCs w:val="28"/>
        </w:rPr>
        <w:t>Corridor</w:t>
      </w:r>
      <w:r>
        <w:rPr>
          <w:rFonts w:ascii="Calibri, sans-serif" w:hAnsi="Calibri, sans-serif"/>
          <w:color w:val="000000"/>
          <w:sz w:val="28"/>
          <w:szCs w:val="28"/>
        </w:rPr>
        <w:t xml:space="preserve"> project</w:t>
      </w:r>
    </w:p>
    <w:p w14:paraId="5F8945A9" w14:textId="77777777" w:rsidR="00E02FB1" w:rsidRPr="008F563C" w:rsidRDefault="00E02FB1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</w:p>
    <w:p w14:paraId="6F3802B6" w14:textId="765207F7" w:rsidR="007D69E1" w:rsidRPr="00CC7EB0" w:rsidRDefault="00E22925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 w:rsidRPr="008F563C">
        <w:rPr>
          <w:rFonts w:ascii="Calibri, sans-serif" w:hAnsi="Calibri, sans-serif"/>
          <w:b/>
          <w:color w:val="000000"/>
          <w:sz w:val="28"/>
          <w:szCs w:val="28"/>
        </w:rPr>
        <w:t xml:space="preserve">Jason </w:t>
      </w:r>
      <w:proofErr w:type="spellStart"/>
      <w:r w:rsidRPr="008F563C">
        <w:rPr>
          <w:rFonts w:ascii="Calibri, sans-serif" w:hAnsi="Calibri, sans-serif"/>
          <w:b/>
          <w:color w:val="000000"/>
          <w:sz w:val="28"/>
          <w:szCs w:val="28"/>
        </w:rPr>
        <w:t>Tromb</w:t>
      </w:r>
      <w:r w:rsidR="00BC6C5E">
        <w:rPr>
          <w:rFonts w:ascii="Calibri, sans-serif" w:hAnsi="Calibri, sans-serif"/>
          <w:b/>
          <w:color w:val="000000"/>
          <w:sz w:val="28"/>
          <w:szCs w:val="28"/>
        </w:rPr>
        <w:t>ley</w:t>
      </w:r>
      <w:proofErr w:type="spellEnd"/>
      <w:r w:rsidR="00BC6C5E">
        <w:rPr>
          <w:rFonts w:ascii="Calibri, sans-serif" w:hAnsi="Calibri, sans-serif"/>
          <w:b/>
          <w:color w:val="000000"/>
          <w:sz w:val="28"/>
          <w:szCs w:val="28"/>
        </w:rPr>
        <w:t>; Fair Housing Presentation 3</w:t>
      </w:r>
      <w:r w:rsidR="00AA032F" w:rsidRPr="008F563C">
        <w:rPr>
          <w:rFonts w:ascii="Calibri, sans-serif" w:hAnsi="Calibri, sans-serif"/>
          <w:b/>
          <w:color w:val="000000"/>
          <w:sz w:val="28"/>
          <w:szCs w:val="28"/>
        </w:rPr>
        <w:t xml:space="preserve"> min</w:t>
      </w:r>
    </w:p>
    <w:p w14:paraId="2CD18C76" w14:textId="2CA8EFC0" w:rsidR="00CF037E" w:rsidRDefault="00CC7EB0" w:rsidP="00CC7EB0">
      <w:pPr>
        <w:pStyle w:val="Standard"/>
        <w:numPr>
          <w:ilvl w:val="0"/>
          <w:numId w:val="13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Introduce FHAC</w:t>
      </w:r>
    </w:p>
    <w:p w14:paraId="4BB426B5" w14:textId="2D8FBFDA" w:rsidR="00CF037E" w:rsidRDefault="00CC7EB0" w:rsidP="00CF037E">
      <w:pPr>
        <w:pStyle w:val="Standard"/>
        <w:numPr>
          <w:ilvl w:val="0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 xml:space="preserve">Why </w:t>
      </w:r>
      <w:r w:rsidR="00CF037E">
        <w:rPr>
          <w:rFonts w:ascii="Calibri, sans-serif" w:hAnsi="Calibri, sans-serif"/>
          <w:color w:val="000000"/>
          <w:sz w:val="28"/>
          <w:szCs w:val="28"/>
        </w:rPr>
        <w:t>Celebrate 50</w:t>
      </w:r>
      <w:r w:rsidR="00CF037E" w:rsidRPr="00CF037E">
        <w:rPr>
          <w:rFonts w:ascii="Calibri, sans-serif" w:hAnsi="Calibri, sans-serif"/>
          <w:color w:val="000000"/>
          <w:sz w:val="28"/>
          <w:szCs w:val="28"/>
          <w:vertAlign w:val="superscript"/>
        </w:rPr>
        <w:t>th</w:t>
      </w:r>
      <w:r w:rsidR="00CF037E">
        <w:rPr>
          <w:rFonts w:ascii="Calibri, sans-serif" w:hAnsi="Calibri, sans-serif"/>
          <w:color w:val="000000"/>
          <w:sz w:val="28"/>
          <w:szCs w:val="28"/>
        </w:rPr>
        <w:t xml:space="preserve"> Anniversary</w:t>
      </w:r>
    </w:p>
    <w:p w14:paraId="35CFCBC0" w14:textId="2755F9DB" w:rsidR="00CF037E" w:rsidRDefault="00CF037E" w:rsidP="00CF037E">
      <w:pPr>
        <w:pStyle w:val="Standard"/>
        <w:numPr>
          <w:ilvl w:val="0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Connect Fair Housing to other Civil Rights legislation</w:t>
      </w:r>
    </w:p>
    <w:p w14:paraId="285F0B45" w14:textId="782D7222" w:rsidR="00CC7EB0" w:rsidRDefault="00CC7EB0" w:rsidP="00CF037E">
      <w:pPr>
        <w:pStyle w:val="Standard"/>
        <w:numPr>
          <w:ilvl w:val="0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Overview of the presentations</w:t>
      </w:r>
    </w:p>
    <w:p w14:paraId="02807C0A" w14:textId="56F1A573" w:rsidR="00CC7EB0" w:rsidRDefault="00BC6C5E" w:rsidP="00CC7EB0">
      <w:pPr>
        <w:pStyle w:val="Standard"/>
        <w:numPr>
          <w:ilvl w:val="1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 xml:space="preserve">AI and </w:t>
      </w:r>
      <w:r w:rsidR="00CC7EB0">
        <w:rPr>
          <w:rFonts w:ascii="Calibri, sans-serif" w:hAnsi="Calibri, sans-serif"/>
          <w:color w:val="000000"/>
          <w:sz w:val="28"/>
          <w:szCs w:val="28"/>
        </w:rPr>
        <w:t>Data -Kim McCarty</w:t>
      </w:r>
    </w:p>
    <w:p w14:paraId="5E919E0F" w14:textId="5F9D1191" w:rsidR="00CC7EB0" w:rsidRDefault="00CC7EB0" w:rsidP="00CC7EB0">
      <w:pPr>
        <w:pStyle w:val="Standard"/>
        <w:numPr>
          <w:ilvl w:val="1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 xml:space="preserve">Legal Framework – Julia Olsen and Alan </w:t>
      </w:r>
      <w:proofErr w:type="spellStart"/>
      <w:r>
        <w:rPr>
          <w:rFonts w:ascii="Calibri, sans-serif" w:hAnsi="Calibri, sans-serif"/>
          <w:color w:val="000000"/>
          <w:sz w:val="28"/>
          <w:szCs w:val="28"/>
        </w:rPr>
        <w:t>Lazo</w:t>
      </w:r>
      <w:proofErr w:type="spellEnd"/>
    </w:p>
    <w:p w14:paraId="478817FD" w14:textId="68CBC983" w:rsidR="00CC7EB0" w:rsidRDefault="00CC7EB0" w:rsidP="00CC7EB0">
      <w:pPr>
        <w:pStyle w:val="Standard"/>
        <w:numPr>
          <w:ilvl w:val="1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Examples of City Policy that shaped housing segregation – Victoria James/ Greta Smith</w:t>
      </w:r>
    </w:p>
    <w:p w14:paraId="3A340A81" w14:textId="16D4CCC3" w:rsidR="00CC7EB0" w:rsidRDefault="00CC7EB0" w:rsidP="00CC7EB0">
      <w:pPr>
        <w:pStyle w:val="Standard"/>
        <w:numPr>
          <w:ilvl w:val="1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Examples of City Policy undoing housing segregation- Shannon Callahan</w:t>
      </w:r>
    </w:p>
    <w:p w14:paraId="69CEEC93" w14:textId="3EAA2ECD" w:rsidR="00CC7EB0" w:rsidRDefault="00CC7EB0" w:rsidP="00CC7EB0">
      <w:pPr>
        <w:pStyle w:val="Standard"/>
        <w:numPr>
          <w:ilvl w:val="1"/>
          <w:numId w:val="12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 xml:space="preserve">Housing access based on protected class status </w:t>
      </w:r>
      <w:r w:rsidR="00BC6C5E">
        <w:rPr>
          <w:rFonts w:ascii="Calibri, sans-serif" w:hAnsi="Calibri, sans-serif"/>
          <w:color w:val="000000"/>
          <w:sz w:val="28"/>
          <w:szCs w:val="28"/>
        </w:rPr>
        <w:t>–</w:t>
      </w:r>
      <w:r>
        <w:rPr>
          <w:rFonts w:ascii="Calibri, sans-serif" w:hAnsi="Calibri, sans-serif"/>
          <w:color w:val="000000"/>
          <w:sz w:val="28"/>
          <w:szCs w:val="28"/>
        </w:rPr>
        <w:t xml:space="preserve"> speakers</w:t>
      </w:r>
    </w:p>
    <w:p w14:paraId="21D23488" w14:textId="77777777" w:rsidR="00BC6C5E" w:rsidRDefault="00BC6C5E" w:rsidP="00BC6C5E">
      <w:pPr>
        <w:rPr>
          <w:sz w:val="28"/>
          <w:szCs w:val="28"/>
        </w:rPr>
      </w:pPr>
    </w:p>
    <w:p w14:paraId="183618E1" w14:textId="2224BD16" w:rsidR="00BC6C5E" w:rsidRDefault="00BC6C5E" w:rsidP="00BC6C5E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 w:rsidRPr="00CC7EB0">
        <w:rPr>
          <w:rFonts w:ascii="Calibri, sans-serif" w:hAnsi="Calibri, sans-serif"/>
          <w:b/>
          <w:color w:val="000000"/>
          <w:sz w:val="28"/>
          <w:szCs w:val="28"/>
        </w:rPr>
        <w:t>Shannon Callahan,</w:t>
      </w:r>
      <w:r w:rsidRPr="00F177BD">
        <w:rPr>
          <w:rFonts w:ascii="Calibri, sans-serif" w:hAnsi="Calibri, sans-serif"/>
          <w:b/>
          <w:color w:val="000000"/>
          <w:sz w:val="28"/>
          <w:szCs w:val="28"/>
        </w:rPr>
        <w:t xml:space="preserve"> </w:t>
      </w:r>
      <w:r w:rsidRPr="00CC7EB0">
        <w:rPr>
          <w:rFonts w:ascii="Calibri, sans-serif" w:hAnsi="Calibri, sans-serif"/>
          <w:color w:val="000000"/>
          <w:sz w:val="28"/>
          <w:szCs w:val="28"/>
        </w:rPr>
        <w:t>Director, Portland Housing Bureau</w:t>
      </w:r>
      <w:r>
        <w:rPr>
          <w:rFonts w:ascii="Calibri, sans-serif" w:hAnsi="Calibri, sans-serif"/>
          <w:color w:val="000000"/>
          <w:sz w:val="28"/>
          <w:szCs w:val="28"/>
        </w:rPr>
        <w:t xml:space="preserve"> 3 min</w:t>
      </w:r>
    </w:p>
    <w:p w14:paraId="6E65308C" w14:textId="77777777" w:rsidR="00BC6C5E" w:rsidRDefault="00BC6C5E" w:rsidP="00BC6C5E">
      <w:pPr>
        <w:pStyle w:val="Standard"/>
        <w:rPr>
          <w:sz w:val="28"/>
          <w:szCs w:val="28"/>
        </w:rPr>
      </w:pPr>
    </w:p>
    <w:p w14:paraId="3B046FA2" w14:textId="77777777" w:rsidR="00BC6C5E" w:rsidRPr="008F563C" w:rsidRDefault="00BC6C5E" w:rsidP="00BC6C5E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  <w:r w:rsidRPr="008F563C">
        <w:rPr>
          <w:rFonts w:ascii="Calibri, sans-serif" w:hAnsi="Calibri, sans-serif"/>
          <w:color w:val="000000"/>
          <w:sz w:val="28"/>
          <w:szCs w:val="28"/>
        </w:rPr>
        <w:t xml:space="preserve">What kind of </w:t>
      </w:r>
      <w:r>
        <w:rPr>
          <w:rFonts w:ascii="Calibri, sans-serif" w:hAnsi="Calibri, sans-serif"/>
          <w:color w:val="000000"/>
          <w:sz w:val="28"/>
          <w:szCs w:val="28"/>
        </w:rPr>
        <w:t>inter-bureau policy and strategies can stop displacement and the destabilization of Portland Communities?</w:t>
      </w:r>
    </w:p>
    <w:p w14:paraId="09131A08" w14:textId="6BCEB5A6" w:rsidR="00BC6C5E" w:rsidRDefault="00BC6C5E" w:rsidP="00BC6C5E">
      <w:pPr>
        <w:rPr>
          <w:sz w:val="28"/>
          <w:szCs w:val="28"/>
        </w:rPr>
      </w:pPr>
    </w:p>
    <w:p w14:paraId="3CDA5B28" w14:textId="741B8867" w:rsidR="00BC6C5E" w:rsidRDefault="00BC6C5E" w:rsidP="00BC6C5E">
      <w:pPr>
        <w:rPr>
          <w:sz w:val="28"/>
          <w:szCs w:val="28"/>
        </w:rPr>
      </w:pPr>
      <w:r>
        <w:rPr>
          <w:sz w:val="28"/>
          <w:szCs w:val="28"/>
        </w:rPr>
        <w:t>Examples of Actions from Portland and Multnomah County include;</w:t>
      </w:r>
    </w:p>
    <w:p w14:paraId="219CC4A6" w14:textId="255F3385" w:rsidR="00BC6C5E" w:rsidRPr="00CF037E" w:rsidRDefault="00BC6C5E" w:rsidP="00BC6C5E">
      <w:pPr>
        <w:pStyle w:val="Standard"/>
        <w:ind w:left="720"/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 xml:space="preserve">Joint City Planning efforts, i.e. BPS, </w:t>
      </w:r>
      <w:r w:rsidR="004E795E">
        <w:rPr>
          <w:rFonts w:ascii="Calibri, sans-serif" w:hAnsi="Calibri, sans-serif"/>
          <w:color w:val="000000"/>
          <w:sz w:val="28"/>
          <w:szCs w:val="28"/>
        </w:rPr>
        <w:t>ONI, PHB, Prosper Portland …</w:t>
      </w:r>
    </w:p>
    <w:p w14:paraId="1630DF16" w14:textId="77777777" w:rsidR="00BC6C5E" w:rsidRPr="00CF037E" w:rsidRDefault="00BC6C5E" w:rsidP="00BC6C5E">
      <w:pPr>
        <w:pStyle w:val="ListParagraph"/>
        <w:numPr>
          <w:ilvl w:val="0"/>
          <w:numId w:val="3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584F02">
        <w:rPr>
          <w:rFonts w:ascii="Calibri, sans-serif" w:hAnsi="Calibri, sans-serif"/>
          <w:color w:val="000000"/>
          <w:sz w:val="28"/>
          <w:szCs w:val="28"/>
        </w:rPr>
        <w:t xml:space="preserve">Joint community involvement </w:t>
      </w:r>
      <w:r>
        <w:rPr>
          <w:rFonts w:ascii="Calibri, sans-serif" w:hAnsi="Calibri, sans-serif"/>
          <w:color w:val="000000"/>
          <w:sz w:val="28"/>
          <w:szCs w:val="28"/>
        </w:rPr>
        <w:t xml:space="preserve">outreach and education. </w:t>
      </w:r>
    </w:p>
    <w:p w14:paraId="5F4CD539" w14:textId="306398EA" w:rsidR="00BC6C5E" w:rsidRPr="00BC6C5E" w:rsidRDefault="00FE622C" w:rsidP="00BC6C5E">
      <w:pPr>
        <w:pStyle w:val="ListParagraph"/>
        <w:numPr>
          <w:ilvl w:val="0"/>
          <w:numId w:val="3"/>
        </w:numPr>
        <w:rPr>
          <w:rFonts w:ascii="Calibri, sans-serif" w:hAnsi="Calibri, sans-serif" w:hint="eastAsia"/>
          <w:color w:val="000000"/>
          <w:sz w:val="28"/>
          <w:szCs w:val="28"/>
        </w:rPr>
      </w:pPr>
      <w:r>
        <w:rPr>
          <w:rFonts w:ascii="Calibri, sans-serif" w:hAnsi="Calibri, sans-serif"/>
          <w:color w:val="000000"/>
          <w:sz w:val="28"/>
          <w:szCs w:val="28"/>
        </w:rPr>
        <w:t>I</w:t>
      </w:r>
      <w:r w:rsidR="00BC6C5E">
        <w:rPr>
          <w:rFonts w:ascii="Calibri, sans-serif" w:hAnsi="Calibri, sans-serif"/>
          <w:color w:val="000000"/>
          <w:sz w:val="28"/>
          <w:szCs w:val="28"/>
        </w:rPr>
        <w:t>nclusionary housing, preference policy</w:t>
      </w:r>
    </w:p>
    <w:p w14:paraId="1FE7D47E" w14:textId="77777777" w:rsidR="00BC6C5E" w:rsidRDefault="00BC6C5E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F364CF">
        <w:rPr>
          <w:sz w:val="28"/>
          <w:szCs w:val="28"/>
        </w:rPr>
        <w:t xml:space="preserve">ollecting disaggregated race and ethnicity demographic information </w:t>
      </w:r>
    </w:p>
    <w:p w14:paraId="064B1D05" w14:textId="24E2F0D9" w:rsidR="00BC6C5E" w:rsidRPr="00DA3E02" w:rsidRDefault="00FE622C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Use of equity lens to assess our</w:t>
      </w:r>
      <w:r w:rsidR="00BC6C5E" w:rsidRPr="00DA3E02">
        <w:rPr>
          <w:sz w:val="28"/>
          <w:szCs w:val="28"/>
        </w:rPr>
        <w:t xml:space="preserve"> programs and activities for disparities</w:t>
      </w:r>
    </w:p>
    <w:p w14:paraId="77CB6B44" w14:textId="0F49FFA0" w:rsidR="00BC6C5E" w:rsidRDefault="00BC6C5E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A3E02">
        <w:rPr>
          <w:sz w:val="28"/>
          <w:szCs w:val="28"/>
        </w:rPr>
        <w:t xml:space="preserve">Affirmative efforts to hear historically unheard populations and </w:t>
      </w:r>
    </w:p>
    <w:p w14:paraId="24E0644F" w14:textId="47BE46E9" w:rsidR="00FE622C" w:rsidRPr="00DA3E02" w:rsidRDefault="00FE622C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Racial equity plans</w:t>
      </w:r>
    </w:p>
    <w:p w14:paraId="1945F0C2" w14:textId="77777777" w:rsidR="00FE622C" w:rsidRDefault="00FE622C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Equitable budgeting and funding models</w:t>
      </w:r>
    </w:p>
    <w:p w14:paraId="7563A9BF" w14:textId="3A102AC7" w:rsidR="00BC6C5E" w:rsidRDefault="00BC6C5E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Affirmative marketing strategies</w:t>
      </w:r>
    </w:p>
    <w:p w14:paraId="0B740052" w14:textId="77777777" w:rsidR="00BC6C5E" w:rsidRDefault="00BC6C5E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Inclusionary Housing</w:t>
      </w:r>
    </w:p>
    <w:p w14:paraId="7C3D0E0C" w14:textId="77777777" w:rsidR="00BC6C5E" w:rsidRPr="00DA3E02" w:rsidRDefault="00BC6C5E" w:rsidP="00BC6C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Healthy housing</w:t>
      </w:r>
    </w:p>
    <w:p w14:paraId="48EEC9AD" w14:textId="77777777" w:rsidR="00BC6C5E" w:rsidRDefault="00BC6C5E" w:rsidP="00BC6C5E">
      <w:pPr>
        <w:pStyle w:val="Standard"/>
        <w:ind w:left="720"/>
        <w:rPr>
          <w:rFonts w:ascii="Calibri, sans-serif" w:hAnsi="Calibri, sans-serif" w:hint="eastAsia"/>
          <w:color w:val="000000"/>
          <w:sz w:val="28"/>
          <w:szCs w:val="28"/>
        </w:rPr>
      </w:pPr>
    </w:p>
    <w:p w14:paraId="5DA19B4A" w14:textId="079271EF" w:rsidR="00584F02" w:rsidRDefault="00584F02" w:rsidP="003E02C5">
      <w:pPr>
        <w:rPr>
          <w:sz w:val="28"/>
          <w:szCs w:val="28"/>
        </w:rPr>
      </w:pPr>
    </w:p>
    <w:p w14:paraId="79BB0324" w14:textId="075936E1" w:rsidR="00584F02" w:rsidRDefault="00584F02" w:rsidP="003E02C5">
      <w:pPr>
        <w:rPr>
          <w:sz w:val="28"/>
          <w:szCs w:val="28"/>
        </w:rPr>
      </w:pPr>
      <w:r w:rsidRPr="00CC7EB0">
        <w:rPr>
          <w:b/>
          <w:sz w:val="28"/>
          <w:szCs w:val="28"/>
        </w:rPr>
        <w:t>Kim McCarty</w:t>
      </w:r>
      <w:r w:rsidR="00CF037E" w:rsidRPr="00CC7EB0">
        <w:rPr>
          <w:b/>
          <w:sz w:val="28"/>
          <w:szCs w:val="28"/>
        </w:rPr>
        <w:t>,</w:t>
      </w:r>
      <w:r w:rsidR="00CF037E">
        <w:rPr>
          <w:sz w:val="28"/>
          <w:szCs w:val="28"/>
        </w:rPr>
        <w:t xml:space="preserve"> PHB Coordinator</w:t>
      </w:r>
    </w:p>
    <w:p w14:paraId="4AE01B80" w14:textId="77777777" w:rsidR="00584F02" w:rsidRPr="00CC7EB0" w:rsidRDefault="00584F02" w:rsidP="00584F02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  <w:r w:rsidRPr="00CC7EB0">
        <w:rPr>
          <w:rFonts w:ascii="Calibri, sans-serif" w:hAnsi="Calibri, sans-serif"/>
          <w:color w:val="000000"/>
          <w:sz w:val="28"/>
          <w:szCs w:val="28"/>
        </w:rPr>
        <w:t>This year we will have a new Analysis of Impediments to Fair Housing</w:t>
      </w:r>
    </w:p>
    <w:p w14:paraId="128BE38F" w14:textId="77777777" w:rsidR="00584F02" w:rsidRPr="00CC7EB0" w:rsidRDefault="00584F02" w:rsidP="00584F02">
      <w:pPr>
        <w:pStyle w:val="Standard"/>
        <w:rPr>
          <w:rFonts w:ascii="Calibri, sans-serif" w:hAnsi="Calibri, sans-serif" w:hint="eastAsia"/>
          <w:color w:val="000000"/>
          <w:sz w:val="28"/>
          <w:szCs w:val="28"/>
        </w:rPr>
      </w:pPr>
      <w:r w:rsidRPr="00CC7EB0">
        <w:rPr>
          <w:rFonts w:ascii="Calibri, sans-serif" w:hAnsi="Calibri, sans-serif"/>
          <w:color w:val="000000"/>
          <w:sz w:val="28"/>
          <w:szCs w:val="28"/>
        </w:rPr>
        <w:t xml:space="preserve">Current programs focused on Fair Housing includes: </w:t>
      </w:r>
    </w:p>
    <w:p w14:paraId="1BA59834" w14:textId="77777777" w:rsidR="00584F02" w:rsidRPr="00CC7EB0" w:rsidRDefault="00584F02" w:rsidP="00584F02">
      <w:pPr>
        <w:pStyle w:val="Standard"/>
        <w:numPr>
          <w:ilvl w:val="0"/>
          <w:numId w:val="5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CC7EB0">
        <w:rPr>
          <w:rFonts w:ascii="Calibri, sans-serif" w:hAnsi="Calibri, sans-serif"/>
          <w:color w:val="000000"/>
          <w:sz w:val="28"/>
          <w:szCs w:val="28"/>
        </w:rPr>
        <w:t>Fair Housing education</w:t>
      </w:r>
    </w:p>
    <w:p w14:paraId="5BE175C8" w14:textId="76E0F2BC" w:rsidR="00584F02" w:rsidRPr="00CC7EB0" w:rsidRDefault="00E37D8E" w:rsidP="00584F02">
      <w:pPr>
        <w:pStyle w:val="Standard"/>
        <w:numPr>
          <w:ilvl w:val="0"/>
          <w:numId w:val="5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CC7EB0">
        <w:rPr>
          <w:rFonts w:ascii="Calibri, sans-serif" w:hAnsi="Calibri, sans-serif"/>
          <w:color w:val="000000"/>
          <w:sz w:val="28"/>
          <w:szCs w:val="28"/>
        </w:rPr>
        <w:t>Fair Housing Enforcement</w:t>
      </w:r>
    </w:p>
    <w:p w14:paraId="2ECD02A6" w14:textId="6BC11846" w:rsidR="00E37D8E" w:rsidRPr="00CC7EB0" w:rsidRDefault="00CF037E" w:rsidP="00584F02">
      <w:pPr>
        <w:pStyle w:val="Standard"/>
        <w:numPr>
          <w:ilvl w:val="0"/>
          <w:numId w:val="5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CC7EB0">
        <w:rPr>
          <w:rFonts w:ascii="Calibri, sans-serif" w:hAnsi="Calibri, sans-serif"/>
          <w:color w:val="000000"/>
          <w:sz w:val="28"/>
          <w:szCs w:val="28"/>
        </w:rPr>
        <w:t>Fair Housing Policy</w:t>
      </w:r>
    </w:p>
    <w:p w14:paraId="01F5B9A8" w14:textId="46BD03DB" w:rsidR="00584F02" w:rsidRDefault="00584F02" w:rsidP="003E02C5">
      <w:pPr>
        <w:rPr>
          <w:sz w:val="28"/>
          <w:szCs w:val="28"/>
        </w:rPr>
      </w:pPr>
    </w:p>
    <w:p w14:paraId="38CCC904" w14:textId="3A500B47" w:rsidR="00E37D8E" w:rsidRDefault="00E37D8E" w:rsidP="003E02C5">
      <w:pPr>
        <w:rPr>
          <w:sz w:val="28"/>
          <w:szCs w:val="28"/>
        </w:rPr>
      </w:pPr>
      <w:r>
        <w:rPr>
          <w:sz w:val="28"/>
          <w:szCs w:val="28"/>
        </w:rPr>
        <w:t xml:space="preserve">Portland has the same </w:t>
      </w:r>
      <w:r w:rsidR="00CF037E">
        <w:rPr>
          <w:sz w:val="28"/>
          <w:szCs w:val="28"/>
        </w:rPr>
        <w:t xml:space="preserve">housing discrimination </w:t>
      </w:r>
      <w:r>
        <w:rPr>
          <w:sz w:val="28"/>
          <w:szCs w:val="28"/>
        </w:rPr>
        <w:t>trends as nationally</w:t>
      </w:r>
    </w:p>
    <w:p w14:paraId="2DE0B2A5" w14:textId="1049686E" w:rsidR="00E37D8E" w:rsidRPr="00E37D8E" w:rsidRDefault="00E37D8E" w:rsidP="00E37D8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37D8E">
        <w:rPr>
          <w:sz w:val="28"/>
          <w:szCs w:val="28"/>
        </w:rPr>
        <w:t>Disability complaints followed by race based complaints</w:t>
      </w:r>
    </w:p>
    <w:p w14:paraId="5C4C8DA4" w14:textId="6183C397" w:rsidR="00E37D8E" w:rsidRPr="00E37D8E" w:rsidRDefault="00E37D8E" w:rsidP="00E37D8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37D8E">
        <w:rPr>
          <w:sz w:val="28"/>
          <w:szCs w:val="28"/>
        </w:rPr>
        <w:t>Most discrimination happens to renters</w:t>
      </w:r>
    </w:p>
    <w:p w14:paraId="3954B42C" w14:textId="77777777" w:rsidR="00CF037E" w:rsidRDefault="00CF037E" w:rsidP="003E02C5">
      <w:pPr>
        <w:rPr>
          <w:sz w:val="28"/>
          <w:szCs w:val="28"/>
        </w:rPr>
      </w:pPr>
    </w:p>
    <w:p w14:paraId="16F36135" w14:textId="60CD26C1" w:rsidR="00E37D8E" w:rsidRDefault="00CF037E" w:rsidP="003E02C5">
      <w:pPr>
        <w:rPr>
          <w:sz w:val="28"/>
          <w:szCs w:val="28"/>
        </w:rPr>
      </w:pPr>
      <w:r>
        <w:rPr>
          <w:sz w:val="28"/>
          <w:szCs w:val="28"/>
        </w:rPr>
        <w:t>Homelessness for Communities of Color</w:t>
      </w:r>
    </w:p>
    <w:p w14:paraId="7D6D85D3" w14:textId="6DB3E609" w:rsidR="00CF037E" w:rsidRDefault="00CF037E" w:rsidP="003E02C5">
      <w:pPr>
        <w:rPr>
          <w:sz w:val="28"/>
          <w:szCs w:val="28"/>
        </w:rPr>
      </w:pPr>
    </w:p>
    <w:p w14:paraId="298CE72C" w14:textId="008884ED" w:rsidR="00CF037E" w:rsidRDefault="00CF037E" w:rsidP="003E02C5">
      <w:pPr>
        <w:rPr>
          <w:sz w:val="28"/>
          <w:szCs w:val="28"/>
        </w:rPr>
      </w:pPr>
      <w:r w:rsidRPr="00CC7EB0">
        <w:rPr>
          <w:b/>
          <w:sz w:val="28"/>
          <w:szCs w:val="28"/>
        </w:rPr>
        <w:t>Greta Smith</w:t>
      </w:r>
      <w:r>
        <w:rPr>
          <w:sz w:val="28"/>
          <w:szCs w:val="28"/>
        </w:rPr>
        <w:t xml:space="preserve">, PSU Historian-  Racial </w:t>
      </w:r>
      <w:r w:rsidR="00CC7EB0">
        <w:rPr>
          <w:sz w:val="28"/>
          <w:szCs w:val="28"/>
        </w:rPr>
        <w:t>Covenants</w:t>
      </w:r>
    </w:p>
    <w:p w14:paraId="462A832C" w14:textId="77777777" w:rsidR="00CF037E" w:rsidRDefault="00CF037E" w:rsidP="003E02C5">
      <w:pPr>
        <w:rPr>
          <w:sz w:val="28"/>
          <w:szCs w:val="28"/>
        </w:rPr>
      </w:pPr>
    </w:p>
    <w:p w14:paraId="34744163" w14:textId="0338DB0E" w:rsidR="00CF037E" w:rsidRDefault="00CF037E" w:rsidP="003E02C5">
      <w:pPr>
        <w:rPr>
          <w:sz w:val="28"/>
          <w:szCs w:val="28"/>
        </w:rPr>
      </w:pPr>
      <w:r w:rsidRPr="00CC7EB0">
        <w:rPr>
          <w:b/>
          <w:sz w:val="28"/>
          <w:szCs w:val="28"/>
        </w:rPr>
        <w:t>Victoria James</w:t>
      </w:r>
      <w:r>
        <w:rPr>
          <w:sz w:val="28"/>
          <w:szCs w:val="28"/>
        </w:rPr>
        <w:t>, PHB Program Coordinator – Land takings</w:t>
      </w:r>
      <w:r w:rsidR="00CC7EB0">
        <w:rPr>
          <w:sz w:val="28"/>
          <w:szCs w:val="28"/>
        </w:rPr>
        <w:t>, preference policy</w:t>
      </w:r>
    </w:p>
    <w:p w14:paraId="51204A78" w14:textId="77777777" w:rsidR="00CF037E" w:rsidRDefault="00CF037E" w:rsidP="003E02C5">
      <w:pPr>
        <w:rPr>
          <w:sz w:val="28"/>
          <w:szCs w:val="28"/>
        </w:rPr>
      </w:pPr>
    </w:p>
    <w:p w14:paraId="0B024BEE" w14:textId="618938AC" w:rsidR="00E503F8" w:rsidRDefault="00BC6C5E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Julia Olsen and others, Legal Framework</w:t>
      </w:r>
    </w:p>
    <w:p w14:paraId="684FFDB7" w14:textId="2A6CFD55" w:rsidR="00BC6C5E" w:rsidRPr="00095278" w:rsidRDefault="00BC6C5E" w:rsidP="00BC6C5E">
      <w:pPr>
        <w:pStyle w:val="Standard"/>
        <w:numPr>
          <w:ilvl w:val="0"/>
          <w:numId w:val="14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095278">
        <w:rPr>
          <w:rFonts w:ascii="Calibri, sans-serif" w:hAnsi="Calibri, sans-serif"/>
          <w:color w:val="000000"/>
          <w:sz w:val="28"/>
          <w:szCs w:val="28"/>
        </w:rPr>
        <w:t>Civil Rights</w:t>
      </w:r>
    </w:p>
    <w:p w14:paraId="323F706F" w14:textId="3D3D2079" w:rsidR="00BC6C5E" w:rsidRPr="00095278" w:rsidRDefault="00BC6C5E" w:rsidP="00BC6C5E">
      <w:pPr>
        <w:pStyle w:val="Standard"/>
        <w:numPr>
          <w:ilvl w:val="0"/>
          <w:numId w:val="14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095278">
        <w:rPr>
          <w:rFonts w:ascii="Calibri, sans-serif" w:hAnsi="Calibri, sans-serif"/>
          <w:color w:val="000000"/>
          <w:sz w:val="28"/>
          <w:szCs w:val="28"/>
        </w:rPr>
        <w:t>Public Accommodations Law</w:t>
      </w:r>
    </w:p>
    <w:p w14:paraId="6D138AC9" w14:textId="0B1FE44B" w:rsidR="00BC6C5E" w:rsidRPr="00095278" w:rsidRDefault="00BC6C5E" w:rsidP="00BC6C5E">
      <w:pPr>
        <w:pStyle w:val="Standard"/>
        <w:numPr>
          <w:ilvl w:val="0"/>
          <w:numId w:val="14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095278">
        <w:rPr>
          <w:rFonts w:ascii="Calibri, sans-serif" w:hAnsi="Calibri, sans-serif"/>
          <w:color w:val="000000"/>
          <w:sz w:val="28"/>
          <w:szCs w:val="28"/>
        </w:rPr>
        <w:t>Title VI</w:t>
      </w:r>
    </w:p>
    <w:p w14:paraId="6185CEE9" w14:textId="3E6095F4" w:rsidR="00BC6C5E" w:rsidRPr="00095278" w:rsidRDefault="00BC6C5E" w:rsidP="00BC6C5E">
      <w:pPr>
        <w:pStyle w:val="Standard"/>
        <w:numPr>
          <w:ilvl w:val="0"/>
          <w:numId w:val="14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095278">
        <w:rPr>
          <w:rFonts w:ascii="Calibri, sans-serif" w:hAnsi="Calibri, sans-serif"/>
          <w:color w:val="000000"/>
          <w:sz w:val="28"/>
          <w:szCs w:val="28"/>
        </w:rPr>
        <w:t>Executive Orders</w:t>
      </w:r>
    </w:p>
    <w:p w14:paraId="1A6591B4" w14:textId="23B8A3D2" w:rsidR="00BC6C5E" w:rsidRPr="00095278" w:rsidRDefault="00BC6C5E" w:rsidP="00BC6C5E">
      <w:pPr>
        <w:pStyle w:val="Standard"/>
        <w:numPr>
          <w:ilvl w:val="0"/>
          <w:numId w:val="14"/>
        </w:numPr>
        <w:rPr>
          <w:rFonts w:ascii="Calibri, sans-serif" w:hAnsi="Calibri, sans-serif" w:hint="eastAsia"/>
          <w:color w:val="000000"/>
          <w:sz w:val="28"/>
          <w:szCs w:val="28"/>
        </w:rPr>
      </w:pPr>
      <w:r w:rsidRPr="00095278">
        <w:rPr>
          <w:rFonts w:ascii="Calibri, sans-serif" w:hAnsi="Calibri, sans-serif"/>
          <w:color w:val="000000"/>
          <w:sz w:val="28"/>
          <w:szCs w:val="28"/>
        </w:rPr>
        <w:t>Rules</w:t>
      </w:r>
    </w:p>
    <w:p w14:paraId="7D7177E4" w14:textId="77777777" w:rsidR="00BC6C5E" w:rsidRDefault="00BC6C5E" w:rsidP="00BC6C5E">
      <w:pPr>
        <w:pStyle w:val="Standard"/>
        <w:numPr>
          <w:ilvl w:val="0"/>
          <w:numId w:val="14"/>
        </w:numPr>
        <w:rPr>
          <w:rFonts w:ascii="Calibri, sans-serif" w:hAnsi="Calibri, sans-serif" w:hint="eastAsia"/>
          <w:b/>
          <w:color w:val="000000"/>
          <w:sz w:val="28"/>
          <w:szCs w:val="28"/>
        </w:rPr>
      </w:pPr>
    </w:p>
    <w:p w14:paraId="72279930" w14:textId="60BDD623" w:rsidR="00E503F8" w:rsidRDefault="00CC7EB0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>Speakers about protected classes</w:t>
      </w:r>
    </w:p>
    <w:p w14:paraId="6DCCD919" w14:textId="77777777" w:rsidR="00CC7EB0" w:rsidRDefault="00CC7EB0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</w:p>
    <w:p w14:paraId="742CBB53" w14:textId="1755BD3F" w:rsidR="00A42E5F" w:rsidRDefault="00095278" w:rsidP="001278CF">
      <w:pPr>
        <w:pStyle w:val="Standard"/>
        <w:rPr>
          <w:rFonts w:ascii="Calibri, sans-serif" w:hAnsi="Calibri, sans-serif" w:hint="eastAsia"/>
          <w:b/>
          <w:color w:val="000000"/>
          <w:sz w:val="28"/>
          <w:szCs w:val="28"/>
        </w:rPr>
      </w:pPr>
      <w:r>
        <w:rPr>
          <w:rFonts w:ascii="Calibri, sans-serif" w:hAnsi="Calibri, sans-serif"/>
          <w:b/>
          <w:color w:val="000000"/>
          <w:sz w:val="28"/>
          <w:szCs w:val="28"/>
        </w:rPr>
        <w:t xml:space="preserve">Ed </w:t>
      </w:r>
      <w:r w:rsidR="007D097F">
        <w:rPr>
          <w:rFonts w:ascii="Calibri, sans-serif" w:hAnsi="Calibri, sans-serif"/>
          <w:b/>
          <w:color w:val="000000"/>
          <w:sz w:val="28"/>
          <w:szCs w:val="28"/>
        </w:rPr>
        <w:t xml:space="preserve">Washington, </w:t>
      </w:r>
      <w:r w:rsidR="007D097F">
        <w:rPr>
          <w:rFonts w:ascii="Calibri, sans-serif" w:hAnsi="Calibri, sans-serif"/>
          <w:color w:val="000000"/>
          <w:sz w:val="28"/>
          <w:szCs w:val="28"/>
        </w:rPr>
        <w:t>Fair</w:t>
      </w:r>
      <w:r>
        <w:rPr>
          <w:rFonts w:ascii="Calibri, sans-serif" w:hAnsi="Calibri, sans-serif"/>
          <w:color w:val="000000"/>
          <w:sz w:val="28"/>
          <w:szCs w:val="28"/>
        </w:rPr>
        <w:t xml:space="preserve"> Housing Council of Oregon Board</w:t>
      </w:r>
      <w:r w:rsidR="001278CF" w:rsidRPr="008F563C">
        <w:rPr>
          <w:rFonts w:ascii="Calibri, sans-serif" w:hAnsi="Calibri, sans-serif"/>
          <w:color w:val="000000"/>
          <w:sz w:val="28"/>
          <w:szCs w:val="28"/>
        </w:rPr>
        <w:t xml:space="preserve">  </w:t>
      </w:r>
    </w:p>
    <w:p w14:paraId="08B8B7B6" w14:textId="7CB7112A" w:rsidR="00E22925" w:rsidRPr="008F563C" w:rsidRDefault="00E22925">
      <w:pPr>
        <w:pStyle w:val="Standard"/>
        <w:rPr>
          <w:sz w:val="28"/>
          <w:szCs w:val="28"/>
        </w:rPr>
      </w:pPr>
    </w:p>
    <w:p w14:paraId="27C1E867" w14:textId="69435B6A" w:rsidR="00E02FB1" w:rsidRPr="008F563C" w:rsidRDefault="0009527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Ed </w:t>
      </w:r>
      <w:r w:rsidR="007D097F">
        <w:rPr>
          <w:sz w:val="28"/>
          <w:szCs w:val="28"/>
        </w:rPr>
        <w:t>Washington</w:t>
      </w:r>
      <w:r w:rsidR="00AA032F" w:rsidRPr="008F563C">
        <w:rPr>
          <w:sz w:val="28"/>
          <w:szCs w:val="28"/>
        </w:rPr>
        <w:t xml:space="preserve"> says a few words, introduces the students</w:t>
      </w:r>
      <w:r w:rsidR="00CF037E">
        <w:rPr>
          <w:sz w:val="28"/>
          <w:szCs w:val="28"/>
        </w:rPr>
        <w:t xml:space="preserve"> name and school. He will invite </w:t>
      </w:r>
      <w:r w:rsidR="00AA032F" w:rsidRPr="008F563C">
        <w:rPr>
          <w:sz w:val="28"/>
          <w:szCs w:val="28"/>
        </w:rPr>
        <w:t>them to stan</w:t>
      </w:r>
      <w:r w:rsidR="003F7173">
        <w:rPr>
          <w:sz w:val="28"/>
          <w:szCs w:val="28"/>
        </w:rPr>
        <w:t>d next to him</w:t>
      </w:r>
      <w:r w:rsidR="00CF037E">
        <w:rPr>
          <w:sz w:val="28"/>
          <w:szCs w:val="28"/>
        </w:rPr>
        <w:t xml:space="preserve">. We will not have time for bios. </w:t>
      </w:r>
      <w:r w:rsidR="003F7173">
        <w:rPr>
          <w:sz w:val="28"/>
          <w:szCs w:val="28"/>
        </w:rPr>
        <w:t xml:space="preserve"> </w:t>
      </w:r>
      <w:r w:rsidR="00AC0CEE">
        <w:rPr>
          <w:sz w:val="28"/>
          <w:szCs w:val="28"/>
        </w:rPr>
        <w:t>Invite the students early to sign the posters for the elected.  Have the elected sign one poster.  Make copies for the kids.</w:t>
      </w:r>
    </w:p>
    <w:p w14:paraId="54FD7FF3" w14:textId="77777777" w:rsidR="00E02FB1" w:rsidRPr="008F563C" w:rsidRDefault="00E02FB1">
      <w:pPr>
        <w:pStyle w:val="Standard"/>
        <w:rPr>
          <w:sz w:val="28"/>
          <w:szCs w:val="28"/>
        </w:rPr>
      </w:pPr>
    </w:p>
    <w:p w14:paraId="7844B313" w14:textId="18A32EF9" w:rsidR="00E02FB1" w:rsidRPr="008F563C" w:rsidRDefault="00E02FB1">
      <w:pPr>
        <w:pStyle w:val="Standard"/>
        <w:rPr>
          <w:sz w:val="28"/>
          <w:szCs w:val="28"/>
        </w:rPr>
      </w:pPr>
    </w:p>
    <w:sectPr w:rsidR="00E02FB1" w:rsidRPr="008F563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F585F" w14:textId="77777777" w:rsidR="009876B0" w:rsidRDefault="009876B0">
      <w:r>
        <w:separator/>
      </w:r>
    </w:p>
  </w:endnote>
  <w:endnote w:type="continuationSeparator" w:id="0">
    <w:p w14:paraId="124E50B6" w14:textId="77777777" w:rsidR="009876B0" w:rsidRDefault="009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F4DD" w14:textId="77777777" w:rsidR="009876B0" w:rsidRDefault="009876B0">
      <w:r>
        <w:rPr>
          <w:color w:val="000000"/>
        </w:rPr>
        <w:separator/>
      </w:r>
    </w:p>
  </w:footnote>
  <w:footnote w:type="continuationSeparator" w:id="0">
    <w:p w14:paraId="1E0BE7D2" w14:textId="77777777" w:rsidR="009876B0" w:rsidRDefault="009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77E"/>
    <w:multiLevelType w:val="hybridMultilevel"/>
    <w:tmpl w:val="FAB6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7645"/>
    <w:multiLevelType w:val="hybridMultilevel"/>
    <w:tmpl w:val="65B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E32"/>
    <w:multiLevelType w:val="multilevel"/>
    <w:tmpl w:val="B6F8B77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AA5B94"/>
    <w:multiLevelType w:val="hybridMultilevel"/>
    <w:tmpl w:val="B262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16ED"/>
    <w:multiLevelType w:val="hybridMultilevel"/>
    <w:tmpl w:val="7256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47C3"/>
    <w:multiLevelType w:val="hybridMultilevel"/>
    <w:tmpl w:val="A182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70676"/>
    <w:multiLevelType w:val="hybridMultilevel"/>
    <w:tmpl w:val="6C905712"/>
    <w:lvl w:ilvl="0" w:tplc="086EC27A">
      <w:start w:val="503"/>
      <w:numFmt w:val="bullet"/>
      <w:lvlText w:val="-"/>
      <w:lvlJc w:val="left"/>
      <w:pPr>
        <w:ind w:left="720" w:hanging="360"/>
      </w:pPr>
      <w:rPr>
        <w:rFonts w:ascii="Calibri, sans-serif" w:eastAsia="Arial Unicode MS" w:hAnsi="Calibri, sans-serif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56DAB"/>
    <w:multiLevelType w:val="hybridMultilevel"/>
    <w:tmpl w:val="29F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5253E"/>
    <w:multiLevelType w:val="hybridMultilevel"/>
    <w:tmpl w:val="D600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E2BDB"/>
    <w:multiLevelType w:val="hybridMultilevel"/>
    <w:tmpl w:val="4168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42FAE"/>
    <w:multiLevelType w:val="hybridMultilevel"/>
    <w:tmpl w:val="AF38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2B95"/>
    <w:multiLevelType w:val="hybridMultilevel"/>
    <w:tmpl w:val="3950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B2466"/>
    <w:multiLevelType w:val="hybridMultilevel"/>
    <w:tmpl w:val="149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E1E6C"/>
    <w:multiLevelType w:val="hybridMultilevel"/>
    <w:tmpl w:val="A6B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B1"/>
    <w:rsid w:val="00052FD2"/>
    <w:rsid w:val="0005347B"/>
    <w:rsid w:val="00095278"/>
    <w:rsid w:val="000F1A91"/>
    <w:rsid w:val="001278CF"/>
    <w:rsid w:val="0016536B"/>
    <w:rsid w:val="00197FC4"/>
    <w:rsid w:val="001D5574"/>
    <w:rsid w:val="001E09DF"/>
    <w:rsid w:val="00296D8D"/>
    <w:rsid w:val="002E38A7"/>
    <w:rsid w:val="002F71BF"/>
    <w:rsid w:val="00323B44"/>
    <w:rsid w:val="00344BE1"/>
    <w:rsid w:val="0034599A"/>
    <w:rsid w:val="00390EF3"/>
    <w:rsid w:val="003A1E21"/>
    <w:rsid w:val="003E02C5"/>
    <w:rsid w:val="003E5602"/>
    <w:rsid w:val="003F1ADF"/>
    <w:rsid w:val="003F7173"/>
    <w:rsid w:val="004C3E74"/>
    <w:rsid w:val="004E6BD7"/>
    <w:rsid w:val="004E795E"/>
    <w:rsid w:val="004F3C11"/>
    <w:rsid w:val="005234FC"/>
    <w:rsid w:val="00547824"/>
    <w:rsid w:val="005770D5"/>
    <w:rsid w:val="00584F02"/>
    <w:rsid w:val="00607B2C"/>
    <w:rsid w:val="0064786E"/>
    <w:rsid w:val="00673C7C"/>
    <w:rsid w:val="00686B92"/>
    <w:rsid w:val="00690F03"/>
    <w:rsid w:val="00696699"/>
    <w:rsid w:val="00775ADA"/>
    <w:rsid w:val="00780FD3"/>
    <w:rsid w:val="007D097F"/>
    <w:rsid w:val="007D69E1"/>
    <w:rsid w:val="00803D71"/>
    <w:rsid w:val="00846CFD"/>
    <w:rsid w:val="0087413D"/>
    <w:rsid w:val="008B788F"/>
    <w:rsid w:val="008D41BA"/>
    <w:rsid w:val="008F563C"/>
    <w:rsid w:val="00903BBE"/>
    <w:rsid w:val="009539C8"/>
    <w:rsid w:val="009876B0"/>
    <w:rsid w:val="009976E7"/>
    <w:rsid w:val="009A3481"/>
    <w:rsid w:val="009D46E0"/>
    <w:rsid w:val="00A21F64"/>
    <w:rsid w:val="00A42E5F"/>
    <w:rsid w:val="00A52A8F"/>
    <w:rsid w:val="00A710F6"/>
    <w:rsid w:val="00A80634"/>
    <w:rsid w:val="00A808B5"/>
    <w:rsid w:val="00A94013"/>
    <w:rsid w:val="00AA032F"/>
    <w:rsid w:val="00AC0CEE"/>
    <w:rsid w:val="00B05200"/>
    <w:rsid w:val="00B10EAF"/>
    <w:rsid w:val="00B37391"/>
    <w:rsid w:val="00B443F3"/>
    <w:rsid w:val="00BC6C5E"/>
    <w:rsid w:val="00C54F93"/>
    <w:rsid w:val="00C6274E"/>
    <w:rsid w:val="00C82A19"/>
    <w:rsid w:val="00CC7EB0"/>
    <w:rsid w:val="00CF037E"/>
    <w:rsid w:val="00D4085A"/>
    <w:rsid w:val="00D728DB"/>
    <w:rsid w:val="00DA3E02"/>
    <w:rsid w:val="00DC2E19"/>
    <w:rsid w:val="00DD439A"/>
    <w:rsid w:val="00E02FB1"/>
    <w:rsid w:val="00E22925"/>
    <w:rsid w:val="00E22C22"/>
    <w:rsid w:val="00E2303D"/>
    <w:rsid w:val="00E37D8E"/>
    <w:rsid w:val="00E503F8"/>
    <w:rsid w:val="00E666FC"/>
    <w:rsid w:val="00EA1EC3"/>
    <w:rsid w:val="00EB2088"/>
    <w:rsid w:val="00F177BD"/>
    <w:rsid w:val="00F238E4"/>
    <w:rsid w:val="00F364CF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D5F5"/>
  <w15:docId w15:val="{23A3EA07-004C-439D-8E7E-6FCEFEA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ormalWeb">
    <w:name w:val="Normal (Web)"/>
    <w:basedOn w:val="Normal"/>
    <w:uiPriority w:val="99"/>
    <w:unhideWhenUsed/>
    <w:rsid w:val="003F71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47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7B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177B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177B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177BD"/>
    <w:rPr>
      <w:rFonts w:cs="Mangal"/>
      <w:szCs w:val="21"/>
    </w:rPr>
  </w:style>
  <w:style w:type="numbering" w:customStyle="1" w:styleId="WWNum12">
    <w:name w:val="WWNum12"/>
    <w:basedOn w:val="NoList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6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4E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4E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74E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4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4E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165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554687426289177269m-3445519480251573080standard">
    <w:name w:val="m_3554687426289177269m_-3445519480251573080standard"/>
    <w:basedOn w:val="Normal"/>
    <w:rsid w:val="00D728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Dempsey Haupt</dc:creator>
  <cp:lastModifiedBy>Sia Argue</cp:lastModifiedBy>
  <cp:revision>2</cp:revision>
  <dcterms:created xsi:type="dcterms:W3CDTF">2018-03-07T06:20:00Z</dcterms:created>
  <dcterms:modified xsi:type="dcterms:W3CDTF">2018-03-07T06:20:00Z</dcterms:modified>
</cp:coreProperties>
</file>