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58AE9" w14:textId="77777777" w:rsidR="00565C8B" w:rsidRPr="004971C1" w:rsidRDefault="00565C8B" w:rsidP="00565C8B">
      <w:pPr>
        <w:pStyle w:val="ColorfulList-Accent11"/>
        <w:numPr>
          <w:ilvl w:val="1"/>
          <w:numId w:val="1"/>
        </w:numPr>
        <w:spacing w:after="240"/>
        <w:ind w:left="270"/>
        <w:textAlignment w:val="baseline"/>
        <w:rPr>
          <w:rFonts w:eastAsia="Times New Roman"/>
          <w:b/>
          <w:spacing w:val="-1"/>
          <w:u w:val="single"/>
        </w:rPr>
      </w:pPr>
      <w:r w:rsidRPr="004971C1">
        <w:rPr>
          <w:rFonts w:eastAsia="Times New Roman"/>
          <w:b/>
          <w:spacing w:val="-1"/>
          <w:u w:val="single"/>
        </w:rPr>
        <w:t>Disparities in Access to Opportunity</w:t>
      </w:r>
    </w:p>
    <w:p w14:paraId="1C7EF805" w14:textId="77777777" w:rsidR="00565C8B" w:rsidRPr="004971C1" w:rsidRDefault="00565C8B" w:rsidP="00565C8B">
      <w:pPr>
        <w:pStyle w:val="ColorfulList-Accent11"/>
        <w:spacing w:after="240"/>
        <w:ind w:left="540"/>
        <w:textAlignment w:val="baseline"/>
        <w:rPr>
          <w:rFonts w:eastAsia="Times New Roman"/>
          <w:b/>
          <w:spacing w:val="-1"/>
          <w:u w:val="single"/>
        </w:rPr>
      </w:pPr>
    </w:p>
    <w:p w14:paraId="4DFD9688" w14:textId="77777777" w:rsidR="00565C8B" w:rsidRPr="004971C1" w:rsidRDefault="00565C8B" w:rsidP="00565C8B">
      <w:pPr>
        <w:pStyle w:val="ColorfulList-Accent11"/>
        <w:numPr>
          <w:ilvl w:val="0"/>
          <w:numId w:val="6"/>
        </w:numPr>
        <w:spacing w:after="240"/>
        <w:ind w:left="720"/>
        <w:textAlignment w:val="baseline"/>
        <w:rPr>
          <w:rFonts w:eastAsia="Times New Roman"/>
          <w:b/>
          <w:spacing w:val="-1"/>
        </w:rPr>
      </w:pPr>
      <w:r w:rsidRPr="004971C1">
        <w:rPr>
          <w:rFonts w:eastAsia="Times New Roman"/>
          <w:b/>
          <w:spacing w:val="-1"/>
        </w:rPr>
        <w:t>Analysis</w:t>
      </w:r>
    </w:p>
    <w:p w14:paraId="1484BA86" w14:textId="77777777" w:rsidR="00565C8B" w:rsidRPr="004971C1" w:rsidRDefault="00565C8B" w:rsidP="00565C8B">
      <w:pPr>
        <w:numPr>
          <w:ilvl w:val="0"/>
          <w:numId w:val="3"/>
        </w:numPr>
        <w:spacing w:after="240"/>
        <w:ind w:left="1080" w:hanging="360"/>
        <w:textAlignment w:val="baseline"/>
        <w:rPr>
          <w:rFonts w:eastAsia="Times New Roman"/>
          <w:b/>
          <w:spacing w:val="-1"/>
        </w:rPr>
      </w:pPr>
      <w:r w:rsidRPr="004971C1">
        <w:rPr>
          <w:rFonts w:eastAsia="Times New Roman"/>
          <w:b/>
          <w:spacing w:val="-1"/>
        </w:rPr>
        <w:t>Education</w:t>
      </w:r>
    </w:p>
    <w:p w14:paraId="42F4555C" w14:textId="77777777" w:rsidR="00565C8B" w:rsidRPr="004971C1" w:rsidRDefault="00565C8B" w:rsidP="00565C8B">
      <w:pPr>
        <w:pStyle w:val="ColorfulList-Accent11"/>
        <w:numPr>
          <w:ilvl w:val="0"/>
          <w:numId w:val="13"/>
        </w:numPr>
        <w:spacing w:after="240"/>
        <w:ind w:left="1440"/>
        <w:rPr>
          <w:rFonts w:eastAsia="Times New Roman"/>
          <w:spacing w:val="-1"/>
        </w:rPr>
      </w:pPr>
      <w:r>
        <w:rPr>
          <w:rFonts w:eastAsia="Times New Roman"/>
          <w:spacing w:val="-1"/>
        </w:rPr>
        <w:t>For the protected class groups HUD has provided data, d</w:t>
      </w:r>
      <w:r w:rsidRPr="007D2754">
        <w:rPr>
          <w:rFonts w:eastAsia="Times New Roman"/>
          <w:spacing w:val="-1"/>
        </w:rPr>
        <w:t>escribe</w:t>
      </w:r>
      <w:r w:rsidRPr="004971C1">
        <w:rPr>
          <w:rFonts w:eastAsia="Times New Roman"/>
          <w:spacing w:val="-1"/>
        </w:rPr>
        <w:t xml:space="preserve"> any disparities in access to proficient schools </w:t>
      </w:r>
      <w:r>
        <w:rPr>
          <w:rFonts w:eastAsia="Times New Roman"/>
          <w:spacing w:val="-1"/>
        </w:rPr>
        <w:t>in</w:t>
      </w:r>
      <w:r w:rsidRPr="004971C1">
        <w:rPr>
          <w:rFonts w:eastAsia="Times New Roman"/>
          <w:spacing w:val="-1"/>
        </w:rPr>
        <w:t xml:space="preserve"> the </w:t>
      </w:r>
      <w:r>
        <w:rPr>
          <w:rFonts w:eastAsia="Times New Roman"/>
          <w:spacing w:val="-1"/>
        </w:rPr>
        <w:t>jurisdiction and region</w:t>
      </w:r>
      <w:r w:rsidRPr="004971C1">
        <w:rPr>
          <w:rFonts w:eastAsia="Times New Roman"/>
          <w:spacing w:val="-1"/>
        </w:rPr>
        <w:t xml:space="preserve">. </w:t>
      </w:r>
    </w:p>
    <w:p w14:paraId="327B8A7B" w14:textId="77777777" w:rsidR="00565C8B" w:rsidRDefault="00565C8B" w:rsidP="00565C8B">
      <w:pPr>
        <w:pStyle w:val="ColorfulList-Accent11"/>
        <w:spacing w:after="240"/>
        <w:ind w:left="1440"/>
        <w:rPr>
          <w:rFonts w:eastAsia="Times New Roman"/>
          <w:spacing w:val="-1"/>
        </w:rPr>
      </w:pPr>
    </w:p>
    <w:p w14:paraId="487C6547" w14:textId="77777777" w:rsidR="00763F14" w:rsidRDefault="002A5105" w:rsidP="00565C8B">
      <w:pPr>
        <w:pStyle w:val="ColorfulList-Accent11"/>
        <w:spacing w:after="240"/>
        <w:ind w:left="1440"/>
        <w:rPr>
          <w:rFonts w:eastAsia="Times New Roman"/>
          <w:spacing w:val="-1"/>
        </w:rPr>
      </w:pPr>
      <w:r>
        <w:rPr>
          <w:rFonts w:eastAsia="Times New Roman"/>
          <w:spacing w:val="-1"/>
        </w:rPr>
        <w:t>The</w:t>
      </w:r>
      <w:r w:rsidR="00763F14">
        <w:rPr>
          <w:rFonts w:eastAsia="Times New Roman"/>
          <w:spacing w:val="-1"/>
        </w:rPr>
        <w:t xml:space="preserve"> proficiency of schools accessible on average to the White, non-Hispanic population</w:t>
      </w:r>
      <w:r>
        <w:rPr>
          <w:rFonts w:eastAsia="Times New Roman"/>
          <w:spacing w:val="-1"/>
        </w:rPr>
        <w:t xml:space="preserve"> in the Portland CDBG is</w:t>
      </w:r>
      <w:r w:rsidR="00763F14">
        <w:rPr>
          <w:rFonts w:eastAsia="Times New Roman"/>
          <w:spacing w:val="-1"/>
        </w:rPr>
        <w:t xml:space="preserve"> slightly h</w:t>
      </w:r>
      <w:r>
        <w:rPr>
          <w:rFonts w:eastAsia="Times New Roman"/>
          <w:spacing w:val="-1"/>
        </w:rPr>
        <w:t>igher than the statewide median and</w:t>
      </w:r>
      <w:r w:rsidR="00763F14">
        <w:rPr>
          <w:rFonts w:eastAsia="Times New Roman"/>
          <w:spacing w:val="-1"/>
        </w:rPr>
        <w:t xml:space="preserve"> the highest among all race/ethnicity groups. </w:t>
      </w:r>
      <w:r w:rsidR="00F83D6A">
        <w:rPr>
          <w:rFonts w:eastAsia="Times New Roman"/>
          <w:spacing w:val="-1"/>
        </w:rPr>
        <w:t xml:space="preserve">This index is </w:t>
      </w:r>
      <w:r>
        <w:rPr>
          <w:rFonts w:eastAsia="Times New Roman"/>
          <w:spacing w:val="-1"/>
        </w:rPr>
        <w:t>much</w:t>
      </w:r>
      <w:r w:rsidR="00F83D6A">
        <w:rPr>
          <w:rFonts w:eastAsia="Times New Roman"/>
          <w:spacing w:val="-1"/>
        </w:rPr>
        <w:t xml:space="preserve"> lower in Black, non-Hispanic</w:t>
      </w:r>
      <w:r w:rsidR="00763F14">
        <w:rPr>
          <w:rFonts w:eastAsia="Times New Roman"/>
          <w:spacing w:val="-1"/>
        </w:rPr>
        <w:t xml:space="preserve"> </w:t>
      </w:r>
      <w:r w:rsidR="00F83D6A">
        <w:rPr>
          <w:rFonts w:eastAsia="Times New Roman"/>
          <w:spacing w:val="-1"/>
        </w:rPr>
        <w:t xml:space="preserve">and Hispanic populations, and </w:t>
      </w:r>
      <w:r>
        <w:rPr>
          <w:rFonts w:eastAsia="Times New Roman"/>
          <w:spacing w:val="-1"/>
        </w:rPr>
        <w:t xml:space="preserve">lower in Asian Pacific Islander and Native American populations as well. </w:t>
      </w:r>
      <w:r w:rsidR="006969BE">
        <w:rPr>
          <w:rFonts w:eastAsia="Times New Roman"/>
          <w:spacing w:val="-1"/>
        </w:rPr>
        <w:t>Gaps</w:t>
      </w:r>
      <w:r>
        <w:rPr>
          <w:rFonts w:eastAsia="Times New Roman"/>
          <w:spacing w:val="-1"/>
        </w:rPr>
        <w:t xml:space="preserve"> between </w:t>
      </w:r>
      <w:r w:rsidR="006969BE">
        <w:rPr>
          <w:rFonts w:eastAsia="Times New Roman"/>
          <w:spacing w:val="-1"/>
        </w:rPr>
        <w:t>the white population</w:t>
      </w:r>
      <w:r>
        <w:rPr>
          <w:rFonts w:eastAsia="Times New Roman"/>
          <w:spacing w:val="-1"/>
        </w:rPr>
        <w:t xml:space="preserve"> and Communities of Color range</w:t>
      </w:r>
      <w:r w:rsidR="006969BE">
        <w:rPr>
          <w:rFonts w:eastAsia="Times New Roman"/>
          <w:spacing w:val="-1"/>
        </w:rPr>
        <w:t xml:space="preserve"> </w:t>
      </w:r>
      <w:r>
        <w:rPr>
          <w:rFonts w:eastAsia="Times New Roman"/>
          <w:spacing w:val="-1"/>
        </w:rPr>
        <w:t xml:space="preserve">from 10 to 20 percentile ranks, with Black Non-Hispanic populations with the lowest quality access. </w:t>
      </w:r>
    </w:p>
    <w:p w14:paraId="67463167" w14:textId="77777777" w:rsidR="00763F14" w:rsidRDefault="00763F14" w:rsidP="00565C8B">
      <w:pPr>
        <w:pStyle w:val="ColorfulList-Accent11"/>
        <w:spacing w:after="240"/>
        <w:ind w:left="1440"/>
        <w:rPr>
          <w:rFonts w:eastAsia="Times New Roman"/>
          <w:spacing w:val="-1"/>
        </w:rPr>
      </w:pPr>
    </w:p>
    <w:p w14:paraId="0AE229BE" w14:textId="77777777" w:rsidR="002A5105" w:rsidRDefault="00763F14" w:rsidP="00565C8B">
      <w:pPr>
        <w:pStyle w:val="ColorfulList-Accent11"/>
        <w:spacing w:after="240"/>
        <w:ind w:left="1440"/>
        <w:rPr>
          <w:rFonts w:eastAsia="Times New Roman"/>
          <w:spacing w:val="-1"/>
        </w:rPr>
      </w:pPr>
      <w:r>
        <w:rPr>
          <w:rFonts w:eastAsia="Times New Roman"/>
          <w:spacing w:val="-1"/>
        </w:rPr>
        <w:t xml:space="preserve">This </w:t>
      </w:r>
      <w:r w:rsidR="002A5105">
        <w:rPr>
          <w:rFonts w:eastAsia="Times New Roman"/>
          <w:spacing w:val="-1"/>
        </w:rPr>
        <w:t xml:space="preserve">general </w:t>
      </w:r>
      <w:r w:rsidR="006969BE">
        <w:rPr>
          <w:rFonts w:eastAsia="Times New Roman"/>
          <w:spacing w:val="-1"/>
        </w:rPr>
        <w:t>pattern</w:t>
      </w:r>
      <w:r w:rsidR="002A5105">
        <w:rPr>
          <w:rFonts w:eastAsia="Times New Roman"/>
          <w:spacing w:val="-1"/>
        </w:rPr>
        <w:t xml:space="preserve"> </w:t>
      </w:r>
      <w:r>
        <w:rPr>
          <w:rFonts w:eastAsia="Times New Roman"/>
          <w:spacing w:val="-1"/>
        </w:rPr>
        <w:t xml:space="preserve">persists among the population below the federal poverty line. </w:t>
      </w:r>
      <w:r w:rsidR="002A5105">
        <w:rPr>
          <w:rFonts w:eastAsia="Times New Roman"/>
          <w:spacing w:val="-1"/>
        </w:rPr>
        <w:t xml:space="preserve">School quality only decreases by one percentile rank or less among the White, Black, and Asian populations below the federal poverty line, while dropping by 9 points among Native American and 4 points among Hispanic populations. </w:t>
      </w:r>
    </w:p>
    <w:p w14:paraId="21681207" w14:textId="77777777" w:rsidR="00C4457B" w:rsidRDefault="00C4457B" w:rsidP="00565C8B">
      <w:pPr>
        <w:pStyle w:val="ColorfulList-Accent11"/>
        <w:spacing w:after="240"/>
        <w:ind w:left="1440"/>
        <w:rPr>
          <w:rFonts w:eastAsia="Times New Roman"/>
          <w:spacing w:val="-1"/>
        </w:rPr>
      </w:pPr>
    </w:p>
    <w:p w14:paraId="30884C45" w14:textId="33F9F092" w:rsidR="00401737" w:rsidRDefault="00C4457B" w:rsidP="00743422">
      <w:pPr>
        <w:pStyle w:val="ColorfulList-Accent11"/>
        <w:spacing w:after="240"/>
        <w:ind w:left="1440"/>
        <w:rPr>
          <w:rFonts w:eastAsia="Times New Roman"/>
          <w:spacing w:val="-1"/>
        </w:rPr>
      </w:pPr>
      <w:r>
        <w:rPr>
          <w:rFonts w:eastAsia="Times New Roman"/>
          <w:spacing w:val="-1"/>
        </w:rPr>
        <w:t xml:space="preserve">Compared to the wider statistical area, </w:t>
      </w:r>
      <w:r w:rsidR="00743422">
        <w:rPr>
          <w:rFonts w:eastAsia="Times New Roman"/>
          <w:spacing w:val="-1"/>
        </w:rPr>
        <w:t xml:space="preserve">the gap between impoverished and the general population is smaller in the </w:t>
      </w:r>
      <w:r w:rsidR="006969BE">
        <w:rPr>
          <w:rFonts w:eastAsia="Times New Roman"/>
          <w:spacing w:val="-1"/>
        </w:rPr>
        <w:t>city</w:t>
      </w:r>
      <w:r w:rsidR="00743422">
        <w:rPr>
          <w:rFonts w:eastAsia="Times New Roman"/>
          <w:spacing w:val="-1"/>
        </w:rPr>
        <w:t xml:space="preserve">. School proficiency is higher </w:t>
      </w:r>
      <w:r w:rsidR="006969BE">
        <w:rPr>
          <w:rFonts w:eastAsia="Times New Roman"/>
          <w:spacing w:val="-1"/>
        </w:rPr>
        <w:t>for all</w:t>
      </w:r>
      <w:r w:rsidR="00743422">
        <w:rPr>
          <w:rFonts w:eastAsia="Times New Roman"/>
          <w:spacing w:val="-1"/>
        </w:rPr>
        <w:t xml:space="preserve"> groups in the </w:t>
      </w:r>
      <w:r w:rsidR="006969BE">
        <w:rPr>
          <w:rFonts w:eastAsia="Times New Roman"/>
          <w:spacing w:val="-1"/>
        </w:rPr>
        <w:t>region</w:t>
      </w:r>
      <w:r w:rsidR="00743422">
        <w:rPr>
          <w:rFonts w:eastAsia="Times New Roman"/>
          <w:spacing w:val="-1"/>
        </w:rPr>
        <w:t xml:space="preserve"> compared to the </w:t>
      </w:r>
      <w:r w:rsidR="006969BE">
        <w:rPr>
          <w:rFonts w:eastAsia="Times New Roman"/>
          <w:spacing w:val="-1"/>
        </w:rPr>
        <w:t>city</w:t>
      </w:r>
      <w:r w:rsidR="00743422">
        <w:rPr>
          <w:rFonts w:eastAsia="Times New Roman"/>
          <w:spacing w:val="-1"/>
        </w:rPr>
        <w:t>, except in white</w:t>
      </w:r>
      <w:r w:rsidR="00EB5A9D">
        <w:rPr>
          <w:rFonts w:eastAsia="Times New Roman"/>
          <w:spacing w:val="-1"/>
        </w:rPr>
        <w:t xml:space="preserve"> populations. However, the </w:t>
      </w:r>
      <w:commentRangeStart w:id="0"/>
      <w:r w:rsidR="00EB5A9D">
        <w:rPr>
          <w:rFonts w:eastAsia="Times New Roman"/>
          <w:spacing w:val="-1"/>
        </w:rPr>
        <w:t>drop</w:t>
      </w:r>
      <w:commentRangeEnd w:id="0"/>
      <w:r w:rsidR="00831403">
        <w:rPr>
          <w:rStyle w:val="CommentReference"/>
        </w:rPr>
        <w:commentReference w:id="0"/>
      </w:r>
      <w:r w:rsidR="00EB5A9D">
        <w:rPr>
          <w:rFonts w:eastAsia="Times New Roman"/>
          <w:spacing w:val="-1"/>
        </w:rPr>
        <w:t xml:space="preserve"> </w:t>
      </w:r>
      <w:r w:rsidR="00743422">
        <w:rPr>
          <w:rFonts w:eastAsia="Times New Roman"/>
          <w:spacing w:val="-1"/>
        </w:rPr>
        <w:t xml:space="preserve">in school quality associated with the poverty line in the region is more dramatic, suggesting greater income inequities in the wider </w:t>
      </w:r>
      <w:commentRangeStart w:id="1"/>
      <w:r w:rsidR="00743422">
        <w:rPr>
          <w:rFonts w:eastAsia="Times New Roman"/>
          <w:spacing w:val="-1"/>
        </w:rPr>
        <w:t>region</w:t>
      </w:r>
      <w:commentRangeEnd w:id="1"/>
      <w:r w:rsidR="00AE2964">
        <w:rPr>
          <w:rStyle w:val="CommentReference"/>
        </w:rPr>
        <w:commentReference w:id="1"/>
      </w:r>
      <w:r w:rsidR="00743422">
        <w:rPr>
          <w:rFonts w:eastAsia="Times New Roman"/>
          <w:spacing w:val="-1"/>
        </w:rPr>
        <w:t xml:space="preserve">. </w:t>
      </w:r>
    </w:p>
    <w:p w14:paraId="77E2AF9B" w14:textId="77777777" w:rsidR="003B0A8E" w:rsidRDefault="002A5105" w:rsidP="00565C8B">
      <w:pPr>
        <w:pStyle w:val="ColorfulList-Accent11"/>
        <w:spacing w:after="240"/>
        <w:ind w:left="1440"/>
        <w:rPr>
          <w:rFonts w:eastAsia="Times New Roman"/>
          <w:spacing w:val="-1"/>
        </w:rPr>
      </w:pPr>
      <w:r>
        <w:rPr>
          <w:rFonts w:eastAsia="Times New Roman"/>
          <w:spacing w:val="-1"/>
        </w:rPr>
        <w:t xml:space="preserve"> </w:t>
      </w:r>
    </w:p>
    <w:p w14:paraId="4E77C485" w14:textId="77777777" w:rsidR="003B0A8E" w:rsidRDefault="002A5105" w:rsidP="00565C8B">
      <w:pPr>
        <w:pStyle w:val="ColorfulList-Accent11"/>
        <w:spacing w:after="240"/>
        <w:ind w:left="1440"/>
        <w:rPr>
          <w:rFonts w:eastAsia="Times New Roman"/>
          <w:spacing w:val="-1"/>
        </w:rPr>
      </w:pPr>
      <w:r>
        <w:rPr>
          <w:rFonts w:eastAsia="Times New Roman"/>
          <w:spacing w:val="-1"/>
        </w:rPr>
        <w:t>[national origin</w:t>
      </w:r>
      <w:r w:rsidR="006969BE">
        <w:rPr>
          <w:rFonts w:eastAsia="Times New Roman"/>
          <w:spacing w:val="-1"/>
        </w:rPr>
        <w:t>?</w:t>
      </w:r>
      <w:r>
        <w:rPr>
          <w:rFonts w:eastAsia="Times New Roman"/>
          <w:spacing w:val="-1"/>
        </w:rPr>
        <w:t>]</w:t>
      </w:r>
    </w:p>
    <w:p w14:paraId="63BAFBDB" w14:textId="77777777" w:rsidR="002A5105" w:rsidRDefault="002A5105" w:rsidP="00565C8B">
      <w:pPr>
        <w:pStyle w:val="ColorfulList-Accent11"/>
        <w:spacing w:after="240"/>
        <w:ind w:left="1440"/>
        <w:rPr>
          <w:rFonts w:eastAsia="Times New Roman"/>
          <w:spacing w:val="-1"/>
        </w:rPr>
      </w:pPr>
      <w:r>
        <w:rPr>
          <w:rFonts w:eastAsia="Times New Roman"/>
          <w:spacing w:val="-1"/>
        </w:rPr>
        <w:t>[family status</w:t>
      </w:r>
      <w:r w:rsidR="006969BE">
        <w:rPr>
          <w:rFonts w:eastAsia="Times New Roman"/>
          <w:spacing w:val="-1"/>
        </w:rPr>
        <w:t>?</w:t>
      </w:r>
      <w:r>
        <w:rPr>
          <w:rFonts w:eastAsia="Times New Roman"/>
          <w:spacing w:val="-1"/>
        </w:rPr>
        <w:t>]</w:t>
      </w:r>
    </w:p>
    <w:p w14:paraId="175CDCB9" w14:textId="77777777" w:rsidR="003B0A8E" w:rsidRPr="004971C1" w:rsidRDefault="003B0A8E" w:rsidP="00565C8B">
      <w:pPr>
        <w:pStyle w:val="ColorfulList-Accent11"/>
        <w:spacing w:after="240"/>
        <w:ind w:left="1440"/>
        <w:rPr>
          <w:rFonts w:eastAsia="Times New Roman"/>
          <w:spacing w:val="-1"/>
        </w:rPr>
      </w:pPr>
    </w:p>
    <w:p w14:paraId="608C68B7" w14:textId="77777777" w:rsidR="00B23A5D" w:rsidRDefault="00565C8B" w:rsidP="00565C8B">
      <w:pPr>
        <w:pStyle w:val="ColorfulList-Accent11"/>
        <w:numPr>
          <w:ilvl w:val="0"/>
          <w:numId w:val="13"/>
        </w:numPr>
        <w:spacing w:after="240"/>
        <w:ind w:left="1440"/>
        <w:rPr>
          <w:rFonts w:eastAsia="Times New Roman"/>
          <w:spacing w:val="-1"/>
        </w:rPr>
      </w:pPr>
      <w:r w:rsidRPr="00F22030">
        <w:t>For the</w:t>
      </w:r>
      <w:r w:rsidRPr="00A80BD6">
        <w:t xml:space="preserve"> protected class </w:t>
      </w:r>
      <w:r>
        <w:t>group</w:t>
      </w:r>
      <w:r w:rsidRPr="00F22030">
        <w:t xml:space="preserve">s HUD has provided data, describe </w:t>
      </w:r>
      <w:r>
        <w:t>how the disparities</w:t>
      </w:r>
      <w:r w:rsidRPr="00A80BD6">
        <w:t xml:space="preserve"> in </w:t>
      </w:r>
      <w:r>
        <w:t>access to</w:t>
      </w:r>
      <w:r w:rsidRPr="00A80BD6">
        <w:t xml:space="preserve"> proficient schools</w:t>
      </w:r>
      <w:r>
        <w:t xml:space="preserve"> relate to residential living patterns in the jurisdiction and region</w:t>
      </w:r>
      <w:r w:rsidRPr="004B1589">
        <w:rPr>
          <w:rFonts w:eastAsia="Times New Roman"/>
          <w:spacing w:val="-1"/>
        </w:rPr>
        <w:t>.</w:t>
      </w:r>
      <w:r w:rsidR="006969BE">
        <w:rPr>
          <w:rFonts w:eastAsia="Times New Roman"/>
          <w:spacing w:val="-1"/>
        </w:rPr>
        <w:br/>
      </w:r>
      <w:r w:rsidR="006969BE">
        <w:rPr>
          <w:rFonts w:eastAsia="Times New Roman"/>
          <w:spacing w:val="-1"/>
        </w:rPr>
        <w:br/>
      </w:r>
      <w:r w:rsidR="007979E0">
        <w:rPr>
          <w:rFonts w:eastAsia="Times New Roman"/>
          <w:spacing w:val="-1"/>
        </w:rPr>
        <w:t>School proficiency is highest in the jurisdiction in Central Southeast Portland (bounded by Killingsworth to the North, Powell to the South, and 30</w:t>
      </w:r>
      <w:r w:rsidR="007979E0" w:rsidRPr="007979E0">
        <w:rPr>
          <w:rFonts w:eastAsia="Times New Roman"/>
          <w:spacing w:val="-1"/>
          <w:vertAlign w:val="superscript"/>
        </w:rPr>
        <w:t>th</w:t>
      </w:r>
      <w:r w:rsidR="007979E0">
        <w:rPr>
          <w:rFonts w:eastAsia="Times New Roman"/>
          <w:spacing w:val="-1"/>
        </w:rPr>
        <w:t xml:space="preserve"> and 60</w:t>
      </w:r>
      <w:r w:rsidR="007979E0" w:rsidRPr="007979E0">
        <w:rPr>
          <w:rFonts w:eastAsia="Times New Roman"/>
          <w:spacing w:val="-1"/>
          <w:vertAlign w:val="superscript"/>
        </w:rPr>
        <w:t>th</w:t>
      </w:r>
      <w:r w:rsidR="007979E0">
        <w:rPr>
          <w:rFonts w:eastAsia="Times New Roman"/>
          <w:spacing w:val="-1"/>
        </w:rPr>
        <w:t xml:space="preserve"> to the East and West), Sellwood-Moreland, the Southwest Hills, and Northwest Portland. School quality is uniformly low in East Portland (generally past 82</w:t>
      </w:r>
      <w:r w:rsidR="007979E0" w:rsidRPr="007979E0">
        <w:rPr>
          <w:rFonts w:eastAsia="Times New Roman"/>
          <w:spacing w:val="-1"/>
          <w:vertAlign w:val="superscript"/>
        </w:rPr>
        <w:t>nd</w:t>
      </w:r>
      <w:r w:rsidR="007979E0">
        <w:rPr>
          <w:rFonts w:eastAsia="Times New Roman"/>
          <w:spacing w:val="-1"/>
        </w:rPr>
        <w:t xml:space="preserve">) and North Portland. </w:t>
      </w:r>
    </w:p>
    <w:p w14:paraId="059A2793" w14:textId="77777777" w:rsidR="00B23A5D" w:rsidRDefault="00B23A5D" w:rsidP="00B23A5D">
      <w:pPr>
        <w:pStyle w:val="ColorfulList-Accent11"/>
        <w:spacing w:after="240"/>
        <w:ind w:left="1440"/>
        <w:rPr>
          <w:rFonts w:eastAsia="Times New Roman"/>
          <w:spacing w:val="-1"/>
        </w:rPr>
      </w:pPr>
    </w:p>
    <w:p w14:paraId="05ECE5E2" w14:textId="77777777" w:rsidR="00565C8B" w:rsidRDefault="007979E0" w:rsidP="00B23A5D">
      <w:pPr>
        <w:pStyle w:val="ColorfulList-Accent11"/>
        <w:spacing w:after="240"/>
        <w:ind w:left="1440"/>
        <w:rPr>
          <w:rFonts w:eastAsia="Times New Roman"/>
          <w:spacing w:val="-1"/>
        </w:rPr>
      </w:pPr>
      <w:r>
        <w:rPr>
          <w:rFonts w:eastAsia="Times New Roman"/>
          <w:spacing w:val="-1"/>
        </w:rPr>
        <w:t>The white population is distributed across the city, but is more concentrated in inner East and NW,</w:t>
      </w:r>
      <w:r w:rsidR="00D747C9">
        <w:rPr>
          <w:rFonts w:eastAsia="Times New Roman"/>
          <w:spacing w:val="-1"/>
        </w:rPr>
        <w:t xml:space="preserve"> and less in East Portland. </w:t>
      </w:r>
      <w:r w:rsidR="0007678F">
        <w:rPr>
          <w:rFonts w:eastAsia="Times New Roman"/>
          <w:spacing w:val="-1"/>
        </w:rPr>
        <w:t>Black and Hispanic populations are most concentrated in North a</w:t>
      </w:r>
      <w:r w:rsidR="00B23A5D">
        <w:rPr>
          <w:rFonts w:eastAsia="Times New Roman"/>
          <w:spacing w:val="-1"/>
        </w:rPr>
        <w:t>nd East Portland, respectively, both areas of lower school proficiency in Portland. Asian/Pacific Islander populations are more concentrated in East Portland, but have a greater presence in areas such as the inner Southeast and Northwest, while absent from North Portland. Populations of color are largely absent in West Portland, an area with average or higher school quality.</w:t>
      </w:r>
    </w:p>
    <w:p w14:paraId="6C3BBA68" w14:textId="77777777" w:rsidR="00B23A5D" w:rsidRDefault="00B23A5D" w:rsidP="00B23A5D">
      <w:pPr>
        <w:pStyle w:val="ColorfulList-Accent11"/>
        <w:spacing w:after="240"/>
        <w:ind w:left="1440"/>
        <w:rPr>
          <w:rFonts w:eastAsia="Times New Roman"/>
          <w:spacing w:val="-1"/>
        </w:rPr>
      </w:pPr>
    </w:p>
    <w:p w14:paraId="4A6B2789" w14:textId="77777777" w:rsidR="008D1C23" w:rsidRDefault="008D1C23" w:rsidP="008D1C23">
      <w:pPr>
        <w:pStyle w:val="ColorfulList-Accent11"/>
        <w:spacing w:after="240"/>
        <w:ind w:left="1440"/>
        <w:rPr>
          <w:rFonts w:eastAsia="Times New Roman"/>
          <w:spacing w:val="-1"/>
        </w:rPr>
      </w:pPr>
      <w:r>
        <w:rPr>
          <w:rFonts w:eastAsia="Times New Roman"/>
          <w:spacing w:val="-1"/>
        </w:rPr>
        <w:t xml:space="preserve">In the region outside the city, large Hispanic and Asian/Pacific Islander populations exist, particularly west of Portland surrounding Hillsboro, north in Vancouver, and east in Gresham. In the </w:t>
      </w:r>
      <w:r w:rsidR="00FC1B35">
        <w:rPr>
          <w:rFonts w:eastAsia="Times New Roman"/>
          <w:spacing w:val="-1"/>
        </w:rPr>
        <w:t>areas</w:t>
      </w:r>
      <w:r>
        <w:rPr>
          <w:rFonts w:eastAsia="Times New Roman"/>
          <w:spacing w:val="-1"/>
        </w:rPr>
        <w:t xml:space="preserve"> of Vancouver with a relatively high proportion of racial/ethnic minorities relative to the rest of the region, school proficiency is typically low. </w:t>
      </w:r>
      <w:r w:rsidR="00FC1B35">
        <w:rPr>
          <w:rFonts w:eastAsia="Times New Roman"/>
          <w:spacing w:val="-1"/>
        </w:rPr>
        <w:t xml:space="preserve">West of </w:t>
      </w:r>
      <w:r w:rsidR="00FC1B35">
        <w:rPr>
          <w:rFonts w:eastAsia="Times New Roman"/>
          <w:spacing w:val="-1"/>
        </w:rPr>
        <w:lastRenderedPageBreak/>
        <w:t xml:space="preserve">Portland, significant Asian/Pacific Islander and Hispanic populations exist, with </w:t>
      </w:r>
      <w:r w:rsidR="00BD3100">
        <w:rPr>
          <w:rFonts w:eastAsia="Times New Roman"/>
          <w:spacing w:val="-1"/>
        </w:rPr>
        <w:t>Hispanic populations more concentrated in areas of low school proficiency, and vice versa. Hispanic populations are also prominent in Gresham/Troutdale, a large area with uniformly low school proficiency.</w:t>
      </w:r>
    </w:p>
    <w:p w14:paraId="0BD88113" w14:textId="77777777" w:rsidR="00FC1B35" w:rsidRDefault="00FC1B35" w:rsidP="008D1C23">
      <w:pPr>
        <w:pStyle w:val="ColorfulList-Accent11"/>
        <w:spacing w:after="240"/>
        <w:ind w:left="1440"/>
        <w:rPr>
          <w:rFonts w:eastAsia="Times New Roman"/>
          <w:spacing w:val="-1"/>
        </w:rPr>
      </w:pPr>
    </w:p>
    <w:p w14:paraId="0BDC6243" w14:textId="77777777" w:rsidR="008D1C23" w:rsidRDefault="00BD3100" w:rsidP="008D1C23">
      <w:pPr>
        <w:pStyle w:val="ColorfulList-Accent11"/>
        <w:spacing w:after="240"/>
        <w:ind w:left="1440"/>
        <w:rPr>
          <w:rFonts w:eastAsia="Times New Roman"/>
          <w:spacing w:val="-1"/>
        </w:rPr>
      </w:pPr>
      <w:r>
        <w:rPr>
          <w:rFonts w:eastAsia="Times New Roman"/>
          <w:spacing w:val="-1"/>
        </w:rPr>
        <w:t>Areas with high school proficiency in Portland have lower foreign-born populations. In East Portland and adjacent areas, the most common country of origin is Mexico, and individuals of that national origin make up around 10% of the area’s population. In Southeast Portland, particularly surrounding 82</w:t>
      </w:r>
      <w:r w:rsidRPr="00BD3100">
        <w:rPr>
          <w:rFonts w:eastAsia="Times New Roman"/>
          <w:spacing w:val="-1"/>
          <w:vertAlign w:val="superscript"/>
        </w:rPr>
        <w:t>nd</w:t>
      </w:r>
      <w:r>
        <w:rPr>
          <w:rFonts w:eastAsia="Times New Roman"/>
          <w:spacing w:val="-1"/>
        </w:rPr>
        <w:t xml:space="preserve"> Ave, a concentration of Vietnamese-born residents </w:t>
      </w:r>
      <w:proofErr w:type="gramStart"/>
      <w:r>
        <w:rPr>
          <w:rFonts w:eastAsia="Times New Roman"/>
          <w:spacing w:val="-1"/>
        </w:rPr>
        <w:t>have</w:t>
      </w:r>
      <w:proofErr w:type="gramEnd"/>
      <w:r>
        <w:rPr>
          <w:rFonts w:eastAsia="Times New Roman"/>
          <w:spacing w:val="-1"/>
        </w:rPr>
        <w:t xml:space="preserve"> access to relatively poor schools.</w:t>
      </w:r>
    </w:p>
    <w:p w14:paraId="20B26C33" w14:textId="77777777" w:rsidR="00BD3100" w:rsidRDefault="00BD3100" w:rsidP="008D1C23">
      <w:pPr>
        <w:pStyle w:val="ColorfulList-Accent11"/>
        <w:spacing w:after="240"/>
        <w:ind w:left="1440"/>
        <w:rPr>
          <w:rFonts w:eastAsia="Times New Roman"/>
          <w:spacing w:val="-1"/>
        </w:rPr>
      </w:pPr>
    </w:p>
    <w:p w14:paraId="77ED9B6B" w14:textId="77777777" w:rsidR="00BD3100" w:rsidRDefault="00BD3100" w:rsidP="008D1C23">
      <w:pPr>
        <w:pStyle w:val="ColorfulList-Accent11"/>
        <w:spacing w:after="240"/>
        <w:ind w:left="1440"/>
        <w:rPr>
          <w:rFonts w:eastAsia="Times New Roman"/>
          <w:spacing w:val="-1"/>
        </w:rPr>
      </w:pPr>
      <w:r>
        <w:rPr>
          <w:rFonts w:eastAsia="Times New Roman"/>
          <w:spacing w:val="-1"/>
        </w:rPr>
        <w:t>Areas not directly in the center of Portland have larger proportions of families with children. In Northwest Portland, few families have children, but those that do access high quality schools. In Inner Southeast, the proportion is somewhat higher, while the areas of the city and region with the greatest proportions of families with children are East Portland/Gresham, suburban communities west of Portland,</w:t>
      </w:r>
      <w:r w:rsidR="00AF12CD">
        <w:rPr>
          <w:rFonts w:eastAsia="Times New Roman"/>
          <w:spacing w:val="-1"/>
        </w:rPr>
        <w:t xml:space="preserve"> and North Portland.</w:t>
      </w:r>
    </w:p>
    <w:p w14:paraId="71704F3B" w14:textId="77777777" w:rsidR="00BD3100" w:rsidRDefault="00BD3100" w:rsidP="008D1C23">
      <w:pPr>
        <w:pStyle w:val="ColorfulList-Accent11"/>
        <w:spacing w:after="240"/>
        <w:ind w:left="1440"/>
        <w:rPr>
          <w:rFonts w:eastAsia="Times New Roman"/>
          <w:spacing w:val="-1"/>
        </w:rPr>
      </w:pPr>
    </w:p>
    <w:p w14:paraId="7C9C71E8" w14:textId="77777777" w:rsidR="00565C8B" w:rsidRPr="002D2E91" w:rsidRDefault="00565C8B" w:rsidP="00565C8B">
      <w:pPr>
        <w:pStyle w:val="ColorfulList-Accent11"/>
        <w:numPr>
          <w:ilvl w:val="0"/>
          <w:numId w:val="13"/>
        </w:numPr>
        <w:spacing w:after="240"/>
        <w:ind w:left="1440"/>
        <w:rPr>
          <w:rFonts w:eastAsia="Times New Roman"/>
          <w:spacing w:val="-1"/>
        </w:rPr>
      </w:pPr>
      <w:r w:rsidRPr="002D2E91">
        <w:rPr>
          <w:rFonts w:eastAsia="Times New Roman"/>
          <w:spacing w:val="-1"/>
        </w:rPr>
        <w:t>Informed by community participation, any consultation with other relevant government agencies, and the participant’s own local data and local knowledge, discuss programs, policies, or funding mechanisms that affect disparities in access to proficient schools.</w:t>
      </w:r>
    </w:p>
    <w:p w14:paraId="18CACBA4" w14:textId="77777777" w:rsidR="00565C8B" w:rsidRPr="004971C1" w:rsidRDefault="00565C8B" w:rsidP="00565C8B">
      <w:pPr>
        <w:numPr>
          <w:ilvl w:val="0"/>
          <w:numId w:val="3"/>
        </w:numPr>
        <w:tabs>
          <w:tab w:val="clear" w:pos="360"/>
        </w:tabs>
        <w:spacing w:after="240"/>
        <w:ind w:left="1080" w:hanging="360"/>
        <w:textAlignment w:val="baseline"/>
        <w:rPr>
          <w:rFonts w:eastAsia="Times New Roman"/>
        </w:rPr>
      </w:pPr>
      <w:r w:rsidRPr="004971C1">
        <w:rPr>
          <w:rFonts w:eastAsia="Times New Roman"/>
          <w:b/>
        </w:rPr>
        <w:t>Employment</w:t>
      </w:r>
    </w:p>
    <w:p w14:paraId="36F31DE2" w14:textId="77777777" w:rsidR="00B17DFD" w:rsidRDefault="00565C8B" w:rsidP="00C4457B">
      <w:pPr>
        <w:pStyle w:val="ColorfulList-Accent11"/>
        <w:numPr>
          <w:ilvl w:val="0"/>
          <w:numId w:val="7"/>
        </w:numPr>
        <w:spacing w:after="240"/>
        <w:contextualSpacing w:val="0"/>
        <w:textAlignment w:val="baseline"/>
        <w:rPr>
          <w:rFonts w:eastAsia="Times New Roman"/>
        </w:rPr>
      </w:pPr>
      <w:r w:rsidRPr="00F22030">
        <w:rPr>
          <w:rFonts w:eastAsia="Times New Roman"/>
        </w:rPr>
        <w:t>For the protected class groups HUD has provided data, describe</w:t>
      </w:r>
      <w:r w:rsidRPr="004971C1">
        <w:rPr>
          <w:rFonts w:eastAsia="Times New Roman"/>
        </w:rPr>
        <w:t xml:space="preserve"> any disparities in access to jobs and labor markets by protected class groups</w:t>
      </w:r>
      <w:r>
        <w:rPr>
          <w:rFonts w:eastAsia="Times New Roman"/>
        </w:rPr>
        <w:t xml:space="preserve"> in the jurisdiction and region</w:t>
      </w:r>
      <w:r w:rsidR="00C4457B">
        <w:rPr>
          <w:rFonts w:eastAsia="Times New Roman"/>
        </w:rPr>
        <w:t>.</w:t>
      </w:r>
      <w:r w:rsidR="00C4457B">
        <w:rPr>
          <w:rFonts w:eastAsia="Times New Roman"/>
        </w:rPr>
        <w:br/>
      </w:r>
      <w:r w:rsidR="00C4457B">
        <w:rPr>
          <w:rFonts w:eastAsia="Times New Roman"/>
        </w:rPr>
        <w:br/>
      </w:r>
      <w:r w:rsidR="00AF12CD">
        <w:rPr>
          <w:rFonts w:eastAsia="Times New Roman"/>
        </w:rPr>
        <w:t>White populations in Portland experience the best labor market conditions among all racial groups, at about the 70</w:t>
      </w:r>
      <w:r w:rsidR="00AF12CD" w:rsidRPr="00AF12CD">
        <w:rPr>
          <w:rFonts w:eastAsia="Times New Roman"/>
          <w:vertAlign w:val="superscript"/>
        </w:rPr>
        <w:t>th</w:t>
      </w:r>
      <w:r w:rsidR="00AF12CD">
        <w:rPr>
          <w:rFonts w:eastAsia="Times New Roman"/>
        </w:rPr>
        <w:t xml:space="preserve"> percentile nationally when it comes to college attainment, labor force participation, and low unemployment. All racial groups </w:t>
      </w:r>
      <w:r w:rsidR="00B17DFD">
        <w:rPr>
          <w:rFonts w:eastAsia="Times New Roman"/>
        </w:rPr>
        <w:t>exceed the national median, except for Hispanic populations below the federal poverty line. Conditions are generally less favorable for all populations in the region compared to the jurisdiction, except for Asians or Pacific Islanders.</w:t>
      </w:r>
    </w:p>
    <w:p w14:paraId="27CE2FA2" w14:textId="77777777" w:rsidR="00C4457B" w:rsidRPr="00C4457B" w:rsidRDefault="00B90F17" w:rsidP="00B17DFD">
      <w:pPr>
        <w:pStyle w:val="ColorfulList-Accent11"/>
        <w:spacing w:after="240"/>
        <w:ind w:left="1440"/>
        <w:contextualSpacing w:val="0"/>
        <w:textAlignment w:val="baseline"/>
        <w:rPr>
          <w:rFonts w:eastAsia="Times New Roman"/>
        </w:rPr>
      </w:pPr>
      <w:r>
        <w:rPr>
          <w:rFonts w:eastAsia="Times New Roman"/>
        </w:rPr>
        <w:t>Average proximity to jobs is measured in comparison to the rest of the region—all racial groups in the jurisdiction and region are within 5 percentile ranks of the regional median. White populations below the poverty line in the jurisdiction and region experience greater job proximity than the general white population, and compared to the lower 2 quartiles in the region. Communities of color below the poverty line in the region</w:t>
      </w:r>
      <w:r w:rsidR="006417DB">
        <w:rPr>
          <w:rFonts w:eastAsia="Times New Roman"/>
        </w:rPr>
        <w:t xml:space="preserve"> also experience higher job proximity in comparison to their larger peer group.</w:t>
      </w:r>
      <w:r>
        <w:rPr>
          <w:rFonts w:eastAsia="Times New Roman"/>
        </w:rPr>
        <w:t xml:space="preserve"> </w:t>
      </w:r>
    </w:p>
    <w:p w14:paraId="2C062D19" w14:textId="77777777" w:rsidR="00565C8B" w:rsidRDefault="00565C8B" w:rsidP="00565C8B">
      <w:pPr>
        <w:pStyle w:val="ListParagraph"/>
        <w:numPr>
          <w:ilvl w:val="0"/>
          <w:numId w:val="7"/>
        </w:numPr>
        <w:spacing w:after="240"/>
      </w:pPr>
      <w:r w:rsidRPr="00F22030">
        <w:t xml:space="preserve">For the protected class groups HUD has provided data, describe </w:t>
      </w:r>
      <w:r>
        <w:t>how disparities in access to employment relate to residential living patterns in the jurisdiction and region.</w:t>
      </w:r>
    </w:p>
    <w:p w14:paraId="03FCEA5B" w14:textId="77777777" w:rsidR="006417DB" w:rsidRDefault="006417DB" w:rsidP="006417DB">
      <w:pPr>
        <w:spacing w:after="240"/>
        <w:ind w:left="1440"/>
      </w:pPr>
      <w:r>
        <w:t xml:space="preserve">Job proximity varies more drastically from neighborhood to neighborhood. As expected, job proximity is highest in downtown Portland, and the surrounding central areas of the city. </w:t>
      </w:r>
      <w:r w:rsidR="0018459B">
        <w:t xml:space="preserve">Areas with lower proximity appear more in North Portland, Central Northeast, and Southeast and East Portland/Gresham. </w:t>
      </w:r>
      <w:proofErr w:type="gramStart"/>
      <w:r w:rsidR="0018459B">
        <w:t>Particular neighborhoods</w:t>
      </w:r>
      <w:proofErr w:type="gramEnd"/>
      <w:r w:rsidR="0018459B">
        <w:t xml:space="preserve"> with lower job proximities would be St. Johns, Lents, Mt. Scott, Arnold Creek, Wilkes, </w:t>
      </w:r>
      <w:proofErr w:type="spellStart"/>
      <w:r w:rsidR="0018459B">
        <w:t>Glenfair</w:t>
      </w:r>
      <w:proofErr w:type="spellEnd"/>
      <w:r w:rsidR="0018459B">
        <w:t>, and Centennial. No clear demographic patterns correspond to all these areas, but observed in relation to school proficiency, some of these neighborhoods represent core populations of communities of color.</w:t>
      </w:r>
    </w:p>
    <w:p w14:paraId="18B76979" w14:textId="77777777" w:rsidR="0018459B" w:rsidRDefault="00B9633B" w:rsidP="002E5308">
      <w:pPr>
        <w:spacing w:after="240"/>
        <w:ind w:left="1440"/>
      </w:pPr>
      <w:r>
        <w:lastRenderedPageBreak/>
        <w:t>Foreign-born residents in Portland seem to live in areas with better than average job proximity. Areas of concern would be North Portland, with Mexican-born residents making up about a tenth of the population in those neighborhoods, and Pleasant Valley, with a sizeable Vietnamese-born population.</w:t>
      </w:r>
      <w:r w:rsidR="002E5308">
        <w:t xml:space="preserve"> </w:t>
      </w:r>
      <w:r>
        <w:t xml:space="preserve">Families with children are underrepresented in areas with high proximity to jobs. </w:t>
      </w:r>
    </w:p>
    <w:p w14:paraId="4F55F437" w14:textId="77777777" w:rsidR="002E5308" w:rsidRPr="007C7E04" w:rsidRDefault="00B9633B" w:rsidP="002E5308">
      <w:pPr>
        <w:spacing w:after="240"/>
        <w:ind w:left="1440"/>
      </w:pPr>
      <w:r>
        <w:t>West and inner East Portland experience very high labor market engagement. This overlaps with some of the areas where the Black population is most concentrated, such as N/NE Portland. Other communities of color, such as the Hispanic and Asian communities in East Portland,</w:t>
      </w:r>
      <w:r w:rsidR="002E5308">
        <w:t xml:space="preserve"> experience much poorer labor market conditions, in the bottom 10 percent nationally in some neighborhoods.</w:t>
      </w:r>
      <w:r>
        <w:t xml:space="preserve"> </w:t>
      </w:r>
      <w:r w:rsidR="002E5308">
        <w:t>In the western suburbs, where labor engagement is in the 90</w:t>
      </w:r>
      <w:r w:rsidR="002E5308" w:rsidRPr="002E5308">
        <w:rPr>
          <w:vertAlign w:val="superscript"/>
        </w:rPr>
        <w:t>th</w:t>
      </w:r>
      <w:r w:rsidR="002E5308">
        <w:t xml:space="preserve"> percentile or above, Asian/Pacific Islanders make up as much as half of those areas’ populations. Suburban Hispanic populations tend to live in areas with lower labor market engagement by comparison. Areas with lower labor market engagement are also home to large shares of the areas Mexican-, Ukrainian-, Chinese-, and to </w:t>
      </w:r>
      <w:proofErr w:type="gramStart"/>
      <w:r w:rsidR="002E5308">
        <w:t>a lesser extent Vietnamese-born residents</w:t>
      </w:r>
      <w:proofErr w:type="gramEnd"/>
      <w:r w:rsidR="002E5308">
        <w:t xml:space="preserve">. However, Vietnamese- and Mexican-born residents are also somewhat represented in high-engagement areas in Central Northeast and North Portland. Areas of high engagement tend to have fewer families with children compared to low labor market engagement areas. </w:t>
      </w:r>
    </w:p>
    <w:p w14:paraId="2F86B0BB" w14:textId="77777777" w:rsidR="00565C8B" w:rsidRPr="00C11A56" w:rsidRDefault="00565C8B" w:rsidP="00565C8B">
      <w:pPr>
        <w:pStyle w:val="ColorfulList-Accent11"/>
        <w:numPr>
          <w:ilvl w:val="0"/>
          <w:numId w:val="7"/>
        </w:numPr>
        <w:spacing w:after="2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affect disparities in access to employment.</w:t>
      </w:r>
    </w:p>
    <w:p w14:paraId="5D36CC1A" w14:textId="77777777" w:rsidR="00565C8B" w:rsidRPr="004971C1" w:rsidRDefault="00565C8B" w:rsidP="00565C8B">
      <w:pPr>
        <w:numPr>
          <w:ilvl w:val="0"/>
          <w:numId w:val="3"/>
        </w:numPr>
        <w:tabs>
          <w:tab w:val="clear" w:pos="360"/>
        </w:tabs>
        <w:spacing w:after="240"/>
        <w:ind w:left="1080" w:hanging="360"/>
        <w:textAlignment w:val="baseline"/>
        <w:rPr>
          <w:rFonts w:eastAsia="Times New Roman"/>
        </w:rPr>
      </w:pPr>
      <w:r w:rsidRPr="004971C1">
        <w:rPr>
          <w:rFonts w:eastAsia="Times New Roman"/>
          <w:b/>
        </w:rPr>
        <w:t>Transportation</w:t>
      </w:r>
    </w:p>
    <w:p w14:paraId="1A40D6F1" w14:textId="77777777" w:rsidR="00565C8B" w:rsidRDefault="00565C8B" w:rsidP="00565C8B">
      <w:pPr>
        <w:pStyle w:val="ColorfulList-Accent11"/>
        <w:numPr>
          <w:ilvl w:val="0"/>
          <w:numId w:val="8"/>
        </w:numPr>
        <w:spacing w:after="240"/>
        <w:ind w:left="1440"/>
        <w:contextualSpacing w:val="0"/>
        <w:textAlignment w:val="baseline"/>
        <w:rPr>
          <w:rFonts w:eastAsia="Times New Roman"/>
        </w:rPr>
      </w:pPr>
      <w:r w:rsidRPr="00F22030">
        <w:rPr>
          <w:rFonts w:eastAsia="Times New Roman"/>
        </w:rPr>
        <w:t>For the protected class groups HUD has provided data, describe</w:t>
      </w:r>
      <w:r w:rsidRPr="004971C1">
        <w:rPr>
          <w:rFonts w:eastAsia="Times New Roman"/>
        </w:rPr>
        <w:t xml:space="preserve"> any disparities in access to transportation </w:t>
      </w:r>
      <w:r>
        <w:rPr>
          <w:rFonts w:eastAsia="Times New Roman"/>
        </w:rPr>
        <w:t xml:space="preserve">related to costs and </w:t>
      </w:r>
      <w:r w:rsidRPr="004971C1">
        <w:rPr>
          <w:rFonts w:eastAsia="Times New Roman"/>
        </w:rPr>
        <w:t>access to</w:t>
      </w:r>
      <w:r>
        <w:rPr>
          <w:rFonts w:eastAsia="Times New Roman"/>
        </w:rPr>
        <w:t xml:space="preserve"> public transit in the jurisdiction and region</w:t>
      </w:r>
      <w:r w:rsidRPr="004971C1">
        <w:rPr>
          <w:rFonts w:eastAsia="Times New Roman"/>
        </w:rPr>
        <w:t xml:space="preserve">.  </w:t>
      </w:r>
    </w:p>
    <w:p w14:paraId="448298B1" w14:textId="36AF1034" w:rsidR="00110DE8" w:rsidRDefault="00110DE8" w:rsidP="00110DE8">
      <w:pPr>
        <w:pStyle w:val="ColorfulList-Accent11"/>
        <w:spacing w:after="240"/>
        <w:ind w:left="1440"/>
        <w:contextualSpacing w:val="0"/>
        <w:textAlignment w:val="baseline"/>
        <w:rPr>
          <w:rFonts w:eastAsia="Times New Roman"/>
        </w:rPr>
      </w:pPr>
      <w:r>
        <w:rPr>
          <w:rFonts w:eastAsia="Times New Roman"/>
        </w:rPr>
        <w:t xml:space="preserve">Racial groups in Portland have similar levels of access to low cost transportation, both in general and below the poverty line. </w:t>
      </w:r>
      <w:r w:rsidR="00522A4A">
        <w:rPr>
          <w:rFonts w:eastAsia="Times New Roman"/>
        </w:rPr>
        <w:t>Use and proximity is slightly higher in the population below the poverty line than in the general populations. Communities of color</w:t>
      </w:r>
      <w:r>
        <w:rPr>
          <w:rFonts w:eastAsia="Times New Roman"/>
        </w:rPr>
        <w:t xml:space="preserve"> use transit at </w:t>
      </w:r>
      <w:r w:rsidR="00522A4A">
        <w:rPr>
          <w:rFonts w:eastAsia="Times New Roman"/>
        </w:rPr>
        <w:t xml:space="preserve">a </w:t>
      </w:r>
      <w:r>
        <w:rPr>
          <w:rFonts w:eastAsia="Times New Roman"/>
        </w:rPr>
        <w:t>high</w:t>
      </w:r>
      <w:r w:rsidR="00522A4A">
        <w:rPr>
          <w:rFonts w:eastAsia="Times New Roman"/>
        </w:rPr>
        <w:t>er rate given their disproportionate share of the population in poverty</w:t>
      </w:r>
      <w:r>
        <w:rPr>
          <w:rFonts w:eastAsia="Times New Roman"/>
        </w:rPr>
        <w:t xml:space="preserve">. Outside of the jurisdiction, low-cost transportation access drops significantly, but less so for communities of color. Transit usage is lower for some racial groups regionally as compared to the jurisdiction, but is still </w:t>
      </w:r>
      <w:proofErr w:type="gramStart"/>
      <w:r>
        <w:rPr>
          <w:rFonts w:eastAsia="Times New Roman"/>
        </w:rPr>
        <w:t>fairly high</w:t>
      </w:r>
      <w:proofErr w:type="gramEnd"/>
      <w:r>
        <w:rPr>
          <w:rFonts w:eastAsia="Times New Roman"/>
        </w:rPr>
        <w:t xml:space="preserve"> for regional populations below the poverty line. White populations and Native American populations in the regional area use transit at lower rates than their city counterparts.</w:t>
      </w:r>
    </w:p>
    <w:p w14:paraId="6128A088" w14:textId="77777777" w:rsidR="00110DE8" w:rsidRPr="004971C1" w:rsidRDefault="00110DE8" w:rsidP="00110DE8">
      <w:pPr>
        <w:pStyle w:val="ColorfulList-Accent11"/>
        <w:spacing w:after="240"/>
        <w:ind w:left="1440"/>
        <w:contextualSpacing w:val="0"/>
        <w:textAlignment w:val="baseline"/>
        <w:rPr>
          <w:rFonts w:eastAsia="Times New Roman"/>
        </w:rPr>
      </w:pPr>
      <w:r>
        <w:rPr>
          <w:rFonts w:eastAsia="Times New Roman"/>
        </w:rPr>
        <w:t>[national origin/family status?]</w:t>
      </w:r>
    </w:p>
    <w:p w14:paraId="6EA36043" w14:textId="77777777" w:rsidR="00565C8B" w:rsidRDefault="00565C8B" w:rsidP="00565C8B">
      <w:pPr>
        <w:pStyle w:val="ColorfulList-Accent11"/>
        <w:numPr>
          <w:ilvl w:val="0"/>
          <w:numId w:val="8"/>
        </w:numPr>
        <w:spacing w:after="240"/>
        <w:ind w:left="1440"/>
        <w:contextualSpacing w:val="0"/>
        <w:textAlignment w:val="baseline"/>
        <w:rPr>
          <w:rFonts w:eastAsia="Times New Roman"/>
        </w:rPr>
      </w:pPr>
      <w:r>
        <w:t xml:space="preserve">For the protected class groups HUD has provided data, describe how disparities in access to </w:t>
      </w:r>
      <w:r w:rsidRPr="00A30436">
        <w:rPr>
          <w:rFonts w:eastAsia="Times New Roman"/>
        </w:rPr>
        <w:t xml:space="preserve">transportation related </w:t>
      </w:r>
      <w:r>
        <w:t xml:space="preserve">to residential living patterns </w:t>
      </w:r>
      <w:r w:rsidRPr="00A30436">
        <w:rPr>
          <w:rFonts w:eastAsia="Times New Roman"/>
        </w:rPr>
        <w:t>in the jurisdiction and region.</w:t>
      </w:r>
    </w:p>
    <w:p w14:paraId="0CB0E8E6" w14:textId="77777777" w:rsidR="00110DE8" w:rsidRDefault="00110DE8" w:rsidP="00110DE8">
      <w:pPr>
        <w:pStyle w:val="ColorfulList-Accent11"/>
        <w:spacing w:after="240"/>
        <w:ind w:left="1440"/>
        <w:contextualSpacing w:val="0"/>
        <w:textAlignment w:val="baseline"/>
        <w:rPr>
          <w:rFonts w:eastAsia="Times New Roman"/>
        </w:rPr>
      </w:pPr>
      <w:r>
        <w:rPr>
          <w:rFonts w:eastAsia="Times New Roman"/>
        </w:rPr>
        <w:t>Compared to national percentile rankings, transit usage is well above average throughout Portland and the surrounding regions. Areas within Portland with lower transit usage include Linnton/Forest Park, the airport, and St. Johns (which, at 53, is still above the national median.) Protected classes, including Communities of Color, foreign-born residents, and families with children, are not particularly present in these areas at all.</w:t>
      </w:r>
    </w:p>
    <w:p w14:paraId="79E36B16" w14:textId="77777777" w:rsidR="00110DE8" w:rsidRDefault="000000A9" w:rsidP="00110DE8">
      <w:pPr>
        <w:pStyle w:val="ColorfulList-Accent11"/>
        <w:spacing w:after="240"/>
        <w:ind w:left="1440"/>
        <w:contextualSpacing w:val="0"/>
        <w:textAlignment w:val="baseline"/>
        <w:rPr>
          <w:rFonts w:eastAsia="Times New Roman"/>
        </w:rPr>
      </w:pPr>
      <w:r>
        <w:rPr>
          <w:rFonts w:eastAsia="Times New Roman"/>
        </w:rPr>
        <w:lastRenderedPageBreak/>
        <w:t xml:space="preserve">Transit affordability varies more throughout the City. Affordability is greatest in Downtown Portland and the Central East Side, which makes sense for their central location. There is less access to low cost trips in some areas of Northeast and Central Northeast Portland, communities outside of Vancouver, southern parts of Gresham, </w:t>
      </w:r>
      <w:proofErr w:type="spellStart"/>
      <w:r>
        <w:rPr>
          <w:rFonts w:eastAsia="Times New Roman"/>
        </w:rPr>
        <w:t>Eastmoreland</w:t>
      </w:r>
      <w:proofErr w:type="spellEnd"/>
      <w:r>
        <w:rPr>
          <w:rFonts w:eastAsia="Times New Roman"/>
        </w:rPr>
        <w:t xml:space="preserve">, and other outer residential communities. This reflects a general decrease in low cost transit accessibility outside of municipal centers or commercial corridors. </w:t>
      </w:r>
    </w:p>
    <w:p w14:paraId="2490194A" w14:textId="77777777" w:rsidR="00110DE8" w:rsidRPr="00F728DB" w:rsidRDefault="000000A9" w:rsidP="00BE4374">
      <w:pPr>
        <w:pStyle w:val="ColorfulList-Accent11"/>
        <w:spacing w:after="240"/>
        <w:ind w:left="1440"/>
        <w:contextualSpacing w:val="0"/>
        <w:textAlignment w:val="baseline"/>
        <w:rPr>
          <w:rFonts w:eastAsia="Times New Roman"/>
        </w:rPr>
      </w:pPr>
      <w:r>
        <w:rPr>
          <w:rFonts w:eastAsia="Times New Roman"/>
        </w:rPr>
        <w:t xml:space="preserve">In areas with less transit accessibility, there are significant Asian/Pacific Islander populations. Other areas home to prominent communities of color do not seem to </w:t>
      </w:r>
      <w:r w:rsidR="00BE4374">
        <w:rPr>
          <w:rFonts w:eastAsia="Times New Roman"/>
        </w:rPr>
        <w:t xml:space="preserve">significantly </w:t>
      </w:r>
      <w:r>
        <w:rPr>
          <w:rFonts w:eastAsia="Times New Roman"/>
        </w:rPr>
        <w:t>lack transit accessibility.</w:t>
      </w:r>
      <w:r w:rsidR="00BE4374">
        <w:rPr>
          <w:rFonts w:eastAsia="Times New Roman"/>
        </w:rPr>
        <w:t xml:space="preserve"> Foreign-born residents are not highly represented in areas with the highest transit accessibility, but do not seem to live in low-accessibility areas either. Over 50% of families have children in Pleasant Valley, an area with below-median transit accessibility. Otherwise, few areas of low accessibility raise concerns.</w:t>
      </w:r>
    </w:p>
    <w:p w14:paraId="4726EDBF" w14:textId="77777777" w:rsidR="00565C8B" w:rsidRPr="00C11A56" w:rsidRDefault="00565C8B" w:rsidP="00565C8B">
      <w:pPr>
        <w:pStyle w:val="ColorfulList-Accent11"/>
        <w:numPr>
          <w:ilvl w:val="0"/>
          <w:numId w:val="8"/>
        </w:numPr>
        <w:spacing w:after="240"/>
        <w:ind w:left="1440"/>
        <w:contextualSpacing w:val="0"/>
        <w:textAlignment w:val="baseline"/>
        <w:rPr>
          <w:rFonts w:eastAsia="Times New Roman"/>
        </w:rPr>
      </w:pPr>
      <w:commentRangeStart w:id="2"/>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affect disparities in access to transportation.</w:t>
      </w:r>
      <w:commentRangeEnd w:id="2"/>
      <w:r w:rsidR="00185531">
        <w:rPr>
          <w:rStyle w:val="CommentReference"/>
        </w:rPr>
        <w:commentReference w:id="2"/>
      </w:r>
    </w:p>
    <w:p w14:paraId="3B7B8544" w14:textId="77777777" w:rsidR="00565C8B" w:rsidRPr="00565C8B" w:rsidRDefault="00565C8B" w:rsidP="00565C8B">
      <w:pPr>
        <w:numPr>
          <w:ilvl w:val="0"/>
          <w:numId w:val="3"/>
        </w:numPr>
        <w:tabs>
          <w:tab w:val="clear" w:pos="360"/>
        </w:tabs>
        <w:spacing w:after="240"/>
        <w:ind w:left="1080" w:hanging="360"/>
        <w:textAlignment w:val="baseline"/>
        <w:rPr>
          <w:rFonts w:eastAsia="Times New Roman"/>
          <w:highlight w:val="yellow"/>
        </w:rPr>
      </w:pPr>
      <w:r w:rsidRPr="00565C8B">
        <w:rPr>
          <w:rFonts w:eastAsia="Times New Roman"/>
          <w:b/>
          <w:highlight w:val="yellow"/>
        </w:rPr>
        <w:t>Access to Low Poverty Neighborhoods</w:t>
      </w:r>
    </w:p>
    <w:p w14:paraId="0CB4431E" w14:textId="77777777" w:rsidR="00565C8B" w:rsidRPr="00565C8B" w:rsidRDefault="00565C8B" w:rsidP="00565C8B">
      <w:pPr>
        <w:pStyle w:val="ColorfulList-Accent11"/>
        <w:numPr>
          <w:ilvl w:val="0"/>
          <w:numId w:val="9"/>
        </w:numPr>
        <w:spacing w:after="240"/>
        <w:contextualSpacing w:val="0"/>
        <w:textAlignment w:val="baseline"/>
        <w:rPr>
          <w:rFonts w:eastAsia="Times New Roman"/>
          <w:highlight w:val="yellow"/>
        </w:rPr>
      </w:pPr>
      <w:r w:rsidRPr="00565C8B">
        <w:rPr>
          <w:rFonts w:eastAsia="Times New Roman"/>
          <w:highlight w:val="yellow"/>
        </w:rPr>
        <w:t xml:space="preserve">For the protected class groups HUD has provided data, describe any disparities in access to low poverty neighborhoods in the jurisdiction and region.  </w:t>
      </w:r>
    </w:p>
    <w:p w14:paraId="7A7F9F53" w14:textId="77777777" w:rsidR="00565C8B" w:rsidRPr="00565C8B" w:rsidRDefault="00565C8B" w:rsidP="00565C8B">
      <w:pPr>
        <w:pStyle w:val="ColorfulList-Accent11"/>
        <w:numPr>
          <w:ilvl w:val="0"/>
          <w:numId w:val="9"/>
        </w:numPr>
        <w:spacing w:after="240"/>
        <w:contextualSpacing w:val="0"/>
        <w:textAlignment w:val="baseline"/>
        <w:rPr>
          <w:rFonts w:eastAsia="Times New Roman"/>
          <w:highlight w:val="yellow"/>
        </w:rPr>
      </w:pPr>
      <w:r w:rsidRPr="00565C8B">
        <w:rPr>
          <w:rFonts w:eastAsia="Times New Roman"/>
          <w:highlight w:val="yellow"/>
        </w:rPr>
        <w:t xml:space="preserve">For the protected class groups HUD has provided data, describe how disparities in access to low poverty neighborhoods relate to residential living patterns of those groups in the jurisdiction and region. </w:t>
      </w:r>
    </w:p>
    <w:p w14:paraId="0D1033A8" w14:textId="77777777" w:rsidR="00565C8B" w:rsidRPr="00565C8B" w:rsidRDefault="00565C8B" w:rsidP="00565C8B">
      <w:pPr>
        <w:pStyle w:val="ColorfulList-Accent11"/>
        <w:numPr>
          <w:ilvl w:val="0"/>
          <w:numId w:val="9"/>
        </w:numPr>
        <w:spacing w:after="240"/>
        <w:contextualSpacing w:val="0"/>
        <w:textAlignment w:val="baseline"/>
        <w:rPr>
          <w:rFonts w:eastAsia="Times New Roman"/>
          <w:highlight w:val="yellow"/>
        </w:rPr>
      </w:pPr>
      <w:r w:rsidRPr="00565C8B">
        <w:rPr>
          <w:rFonts w:eastAsia="Times New Roman"/>
          <w:spacing w:val="-1"/>
          <w:highlight w:val="yellow"/>
        </w:rPr>
        <w:t>Informed by community participation, any consultation with other relevant government agencies, and the participant’s own local data and local knowledge, discuss whether there are programs, policies, or funding mechanisms that affect disparities in access to low poverty neighborhoods.</w:t>
      </w:r>
    </w:p>
    <w:p w14:paraId="419A7B4A" w14:textId="77777777" w:rsidR="00565C8B" w:rsidRPr="00565C8B" w:rsidRDefault="00565C8B" w:rsidP="00565C8B">
      <w:pPr>
        <w:numPr>
          <w:ilvl w:val="0"/>
          <w:numId w:val="3"/>
        </w:numPr>
        <w:tabs>
          <w:tab w:val="clear" w:pos="360"/>
        </w:tabs>
        <w:spacing w:after="240"/>
        <w:ind w:left="1080" w:hanging="360"/>
        <w:textAlignment w:val="baseline"/>
        <w:rPr>
          <w:rFonts w:eastAsia="Times New Roman"/>
          <w:highlight w:val="yellow"/>
        </w:rPr>
      </w:pPr>
      <w:r w:rsidRPr="00565C8B">
        <w:rPr>
          <w:rFonts w:eastAsia="Times New Roman"/>
          <w:b/>
          <w:highlight w:val="yellow"/>
        </w:rPr>
        <w:t>Access to Environmentally Healthy Neighborhoods</w:t>
      </w:r>
    </w:p>
    <w:p w14:paraId="5E7895C1" w14:textId="77777777" w:rsidR="00565C8B" w:rsidRPr="00565C8B" w:rsidRDefault="00565C8B" w:rsidP="00565C8B">
      <w:pPr>
        <w:pStyle w:val="ColorfulList-Accent11"/>
        <w:numPr>
          <w:ilvl w:val="0"/>
          <w:numId w:val="10"/>
        </w:numPr>
        <w:spacing w:after="240"/>
        <w:contextualSpacing w:val="0"/>
        <w:textAlignment w:val="baseline"/>
        <w:rPr>
          <w:rFonts w:eastAsia="Times New Roman"/>
          <w:highlight w:val="yellow"/>
        </w:rPr>
      </w:pPr>
      <w:r w:rsidRPr="00565C8B">
        <w:rPr>
          <w:rFonts w:eastAsia="Times New Roman"/>
          <w:highlight w:val="yellow"/>
        </w:rPr>
        <w:t xml:space="preserve">For the protected class groups HUD has provided data, describe any disparities in access to environmentally healthy neighborhoods in the jurisdiction and region. </w:t>
      </w:r>
    </w:p>
    <w:p w14:paraId="5315FF14" w14:textId="77777777" w:rsidR="00565C8B" w:rsidRPr="00565C8B" w:rsidRDefault="00565C8B" w:rsidP="00565C8B">
      <w:pPr>
        <w:pStyle w:val="ColorfulList-Accent11"/>
        <w:numPr>
          <w:ilvl w:val="0"/>
          <w:numId w:val="10"/>
        </w:numPr>
        <w:spacing w:after="240"/>
        <w:contextualSpacing w:val="0"/>
        <w:textAlignment w:val="baseline"/>
        <w:rPr>
          <w:rFonts w:eastAsia="Times New Roman"/>
          <w:highlight w:val="yellow"/>
        </w:rPr>
      </w:pPr>
      <w:r w:rsidRPr="00565C8B">
        <w:rPr>
          <w:rFonts w:eastAsia="Times New Roman"/>
          <w:highlight w:val="yellow"/>
        </w:rPr>
        <w:t>For the protected class groups HUD has provided data, describe how disparities in access to environmentally healthy neighborhoods relate to residential living patterns in the jurisdiction and region.</w:t>
      </w:r>
      <w:r w:rsidRPr="00565C8B">
        <w:rPr>
          <w:highlight w:val="yellow"/>
        </w:rPr>
        <w:t xml:space="preserve"> </w:t>
      </w:r>
    </w:p>
    <w:p w14:paraId="0DE786AC" w14:textId="77777777" w:rsidR="00565C8B" w:rsidRPr="00565C8B" w:rsidRDefault="00565C8B" w:rsidP="00565C8B">
      <w:pPr>
        <w:pStyle w:val="ColorfulList-Accent11"/>
        <w:numPr>
          <w:ilvl w:val="0"/>
          <w:numId w:val="10"/>
        </w:numPr>
        <w:spacing w:after="240"/>
        <w:contextualSpacing w:val="0"/>
        <w:textAlignment w:val="baseline"/>
        <w:rPr>
          <w:rFonts w:eastAsia="Times New Roman"/>
          <w:highlight w:val="yellow"/>
        </w:rPr>
      </w:pPr>
      <w:r w:rsidRPr="00565C8B">
        <w:rPr>
          <w:rFonts w:eastAsia="Times New Roman"/>
          <w:spacing w:val="-1"/>
          <w:highlight w:val="yellow"/>
        </w:rPr>
        <w:t>Informed by community participation, any consultation with other relevant government agencies, and the participant’s own local data and local knowledge, discuss whether there are programs, policies, or funding mechanisms that affect disparities in access to environmentally healthy neighborhoods.</w:t>
      </w:r>
    </w:p>
    <w:p w14:paraId="06263740" w14:textId="77777777" w:rsidR="00565C8B" w:rsidRPr="004971C1" w:rsidRDefault="00565C8B" w:rsidP="00565C8B">
      <w:pPr>
        <w:pStyle w:val="ColorfulList-Accent11"/>
        <w:numPr>
          <w:ilvl w:val="0"/>
          <w:numId w:val="12"/>
        </w:numPr>
        <w:spacing w:after="240"/>
        <w:ind w:left="1080"/>
      </w:pPr>
      <w:r w:rsidRPr="004971C1">
        <w:rPr>
          <w:b/>
        </w:rPr>
        <w:t>Patterns in Disparities in Access to Opportunity</w:t>
      </w:r>
    </w:p>
    <w:p w14:paraId="03223FA9" w14:textId="77777777" w:rsidR="00565C8B" w:rsidRPr="004971C1" w:rsidRDefault="00565C8B" w:rsidP="00565C8B">
      <w:pPr>
        <w:pStyle w:val="ColorfulList-Accent11"/>
        <w:spacing w:after="240"/>
        <w:ind w:left="1080"/>
      </w:pPr>
    </w:p>
    <w:p w14:paraId="53F0ECB7" w14:textId="750D7C5F" w:rsidR="00565C8B" w:rsidRDefault="00565C8B" w:rsidP="00565C8B">
      <w:pPr>
        <w:pStyle w:val="ColorfulList-Accent11"/>
        <w:numPr>
          <w:ilvl w:val="0"/>
          <w:numId w:val="11"/>
        </w:numPr>
        <w:spacing w:after="240"/>
      </w:pPr>
      <w:r>
        <w:t>For the protected class groups HUD has provided data, i</w:t>
      </w:r>
      <w:r w:rsidRPr="007D2754">
        <w:t>dentify</w:t>
      </w:r>
      <w:r w:rsidRPr="004971C1">
        <w:t xml:space="preserve"> and discuss any overarching patterns of access to opportunity and exposure to adverse community factors</w:t>
      </w:r>
      <w:r w:rsidRPr="007D2754">
        <w:t xml:space="preserve">. </w:t>
      </w:r>
      <w:r>
        <w:lastRenderedPageBreak/>
        <w:t xml:space="preserve">Include how these patterns compare to patterns of segregation, integration, and R/ECAPs. Describe these patterns for the jurisdiction and region. </w:t>
      </w:r>
      <w:r w:rsidRPr="007D2754">
        <w:t xml:space="preserve"> </w:t>
      </w:r>
    </w:p>
    <w:p w14:paraId="21692E6B" w14:textId="5B26738B" w:rsidR="00522A4A" w:rsidRDefault="00522A4A" w:rsidP="00522A4A">
      <w:pPr>
        <w:pStyle w:val="ColorfulList-Accent11"/>
        <w:spacing w:after="240"/>
      </w:pPr>
    </w:p>
    <w:p w14:paraId="517A9ED0" w14:textId="136D79B9" w:rsidR="00BE4374" w:rsidRDefault="00522A4A" w:rsidP="00BE4374">
      <w:pPr>
        <w:pStyle w:val="ColorfulList-Accent11"/>
        <w:spacing w:after="240"/>
        <w:ind w:left="1440"/>
      </w:pPr>
      <w:r>
        <w:t xml:space="preserve">Portland remains a city with a strong concentration of high opportunity indicators within the Central City and close-in neighborhoods.  Increasing housing prices, both rental and for sale, within the Central City and inner neighborhoods have resulted in displacement of lower-income households and households of color from those neighborhoods to outer neighborhoods with lower opportunity. Outer east neighborhoods have increased in both concentration of communities of color and residents living in poverty.  </w:t>
      </w:r>
      <w:r w:rsidR="00185531">
        <w:rPr>
          <w:rStyle w:val="CommentReference"/>
        </w:rPr>
        <w:commentReference w:id="3"/>
      </w:r>
    </w:p>
    <w:p w14:paraId="682B64F5" w14:textId="77777777" w:rsidR="00565C8B" w:rsidRDefault="00565C8B" w:rsidP="00565C8B">
      <w:pPr>
        <w:pStyle w:val="ListParagraph"/>
        <w:numPr>
          <w:ilvl w:val="0"/>
          <w:numId w:val="11"/>
        </w:numPr>
      </w:pPr>
      <w:r>
        <w:t xml:space="preserve">Based on the opportunity indicators assessed above, identify areas that experience: (a) high access; and (b) low access across multiple indicators. </w:t>
      </w:r>
    </w:p>
    <w:p w14:paraId="63CCEB36" w14:textId="77777777" w:rsidR="00BE4374" w:rsidRDefault="00BE4374" w:rsidP="00BE4374"/>
    <w:p w14:paraId="47685926" w14:textId="77777777" w:rsidR="00BE4374" w:rsidRDefault="00BE4374" w:rsidP="00BE4374">
      <w:pPr>
        <w:ind w:left="1440"/>
      </w:pPr>
      <w:r>
        <w:t>High access:</w:t>
      </w:r>
      <w:r w:rsidR="00185531">
        <w:t xml:space="preserve"> Northwest, Central East Side (East Side probably as far as 60</w:t>
      </w:r>
      <w:r w:rsidR="00185531" w:rsidRPr="00185531">
        <w:rPr>
          <w:vertAlign w:val="superscript"/>
        </w:rPr>
        <w:t>th</w:t>
      </w:r>
      <w:r w:rsidR="00185531">
        <w:t xml:space="preserve"> Ave), North/Northeast</w:t>
      </w:r>
    </w:p>
    <w:p w14:paraId="0930DB2D" w14:textId="77777777" w:rsidR="00BE4374" w:rsidRDefault="00BE4374" w:rsidP="00BE4374">
      <w:pPr>
        <w:ind w:left="1440"/>
      </w:pPr>
    </w:p>
    <w:p w14:paraId="3255150E" w14:textId="77777777" w:rsidR="00BE4374" w:rsidRDefault="00BE4374" w:rsidP="00BE4374">
      <w:pPr>
        <w:ind w:left="1440"/>
      </w:pPr>
      <w:r>
        <w:t>Low access: Gresham and East Por</w:t>
      </w:r>
      <w:r w:rsidR="00185531">
        <w:t xml:space="preserve">tland, </w:t>
      </w:r>
      <w:r>
        <w:t>St. John’</w:t>
      </w:r>
      <w:r w:rsidR="00185531">
        <w:t>s and North Portland, Central Northeast</w:t>
      </w:r>
    </w:p>
    <w:p w14:paraId="05158D69" w14:textId="77777777" w:rsidR="00565C8B" w:rsidRDefault="00565C8B" w:rsidP="00565C8B">
      <w:pPr>
        <w:pStyle w:val="ListParagraph"/>
        <w:ind w:left="1440"/>
      </w:pPr>
    </w:p>
    <w:p w14:paraId="26DEA806" w14:textId="77777777" w:rsidR="00565C8B" w:rsidRPr="004971C1" w:rsidRDefault="00565C8B" w:rsidP="00565C8B">
      <w:pPr>
        <w:numPr>
          <w:ilvl w:val="0"/>
          <w:numId w:val="6"/>
        </w:numPr>
        <w:spacing w:after="240"/>
        <w:ind w:left="720" w:right="504"/>
        <w:textAlignment w:val="baseline"/>
        <w:rPr>
          <w:rFonts w:eastAsia="Times New Roman"/>
          <w:b/>
        </w:rPr>
      </w:pPr>
      <w:commentRangeStart w:id="4"/>
      <w:r w:rsidRPr="004971C1">
        <w:rPr>
          <w:rFonts w:eastAsia="Times New Roman"/>
          <w:b/>
        </w:rPr>
        <w:t>Additional Information</w:t>
      </w:r>
      <w:commentRangeEnd w:id="4"/>
      <w:r w:rsidR="00185531">
        <w:rPr>
          <w:rStyle w:val="CommentReference"/>
        </w:rPr>
        <w:commentReference w:id="4"/>
      </w:r>
    </w:p>
    <w:p w14:paraId="46E0AE78" w14:textId="77777777" w:rsidR="00565C8B" w:rsidRPr="004971C1" w:rsidRDefault="00565C8B" w:rsidP="00565C8B">
      <w:pPr>
        <w:pStyle w:val="ColorfulList-Accent11"/>
        <w:numPr>
          <w:ilvl w:val="0"/>
          <w:numId w:val="5"/>
        </w:numPr>
        <w:spacing w:after="240"/>
        <w:ind w:right="504"/>
        <w:textAlignment w:val="baseline"/>
        <w:rPr>
          <w:rFonts w:eastAsia="Times New Roman"/>
          <w:i/>
          <w:spacing w:val="-2"/>
        </w:rPr>
      </w:pPr>
      <w:r w:rsidRPr="004971C1">
        <w:rPr>
          <w:rFonts w:eastAsia="Times New Roman"/>
        </w:rPr>
        <w:t>Beyond the HUD-provided data, provide additional relevant information, if any, about disparities in access to opportunity in the jurisdiction and region affecting groups with other protected characteristics.</w:t>
      </w:r>
    </w:p>
    <w:p w14:paraId="34920597" w14:textId="77777777" w:rsidR="00565C8B" w:rsidRPr="004971C1" w:rsidRDefault="00565C8B" w:rsidP="00565C8B">
      <w:pPr>
        <w:pStyle w:val="ColorfulList-Accent11"/>
        <w:spacing w:after="240"/>
        <w:ind w:left="1080" w:right="504"/>
        <w:textAlignment w:val="baseline"/>
        <w:rPr>
          <w:rFonts w:eastAsia="Times New Roman"/>
          <w:i/>
          <w:spacing w:val="-2"/>
        </w:rPr>
      </w:pPr>
    </w:p>
    <w:p w14:paraId="60ED3D15" w14:textId="77777777" w:rsidR="00565C8B" w:rsidRPr="004971C1" w:rsidRDefault="00565C8B" w:rsidP="00565C8B">
      <w:pPr>
        <w:pStyle w:val="ColorfulList-Accent11"/>
        <w:numPr>
          <w:ilvl w:val="0"/>
          <w:numId w:val="5"/>
        </w:numPr>
        <w:spacing w:after="240"/>
        <w:ind w:right="504"/>
        <w:textAlignment w:val="baseline"/>
        <w:rPr>
          <w:rFonts w:eastAsia="Times New Roman"/>
          <w:i/>
          <w:spacing w:val="-2"/>
        </w:rPr>
      </w:pPr>
      <w:r w:rsidRPr="004971C1">
        <w:rPr>
          <w:rFonts w:eastAsia="Times New Roman"/>
        </w:rPr>
        <w:t>The program participant may also describe other information relevant to its assessment of disparities in access to opportunity, including any activities aimed at improving access to opportunities for areas that may</w:t>
      </w:r>
      <w:r w:rsidRPr="004971C1">
        <w:t xml:space="preserve"> lack such access, or in promoting access to opportunity (e.g., proficient schools, employment opportunities, and transportation).</w:t>
      </w:r>
      <w:r w:rsidRPr="004971C1">
        <w:rPr>
          <w:rFonts w:eastAsia="Times New Roman"/>
          <w:i/>
          <w:spacing w:val="-2"/>
        </w:rPr>
        <w:t xml:space="preserve">  </w:t>
      </w:r>
    </w:p>
    <w:p w14:paraId="084D368F" w14:textId="77777777" w:rsidR="00565C8B" w:rsidRPr="004971C1" w:rsidRDefault="00565C8B" w:rsidP="00565C8B">
      <w:pPr>
        <w:numPr>
          <w:ilvl w:val="0"/>
          <w:numId w:val="6"/>
        </w:numPr>
        <w:spacing w:after="240"/>
        <w:ind w:left="720" w:right="360"/>
        <w:textAlignment w:val="baseline"/>
        <w:rPr>
          <w:rFonts w:eastAsia="Times New Roman"/>
          <w:b/>
        </w:rPr>
      </w:pPr>
      <w:commentRangeStart w:id="5"/>
      <w:r w:rsidRPr="004971C1">
        <w:rPr>
          <w:rFonts w:eastAsia="Times New Roman"/>
          <w:b/>
        </w:rPr>
        <w:t>Contributing Factors of Disparities in Access to Opportunity</w:t>
      </w:r>
      <w:commentRangeEnd w:id="5"/>
      <w:r w:rsidR="00185531">
        <w:rPr>
          <w:rStyle w:val="CommentReference"/>
        </w:rPr>
        <w:commentReference w:id="5"/>
      </w:r>
    </w:p>
    <w:p w14:paraId="1532BCF5" w14:textId="77777777" w:rsidR="00565C8B" w:rsidRPr="004971C1" w:rsidRDefault="00565C8B" w:rsidP="00565C8B">
      <w:pPr>
        <w:spacing w:after="240"/>
        <w:ind w:left="720" w:right="360"/>
        <w:textAlignment w:val="baseline"/>
        <w:rPr>
          <w:rFonts w:eastAsia="Times New Roman"/>
          <w:i/>
        </w:rPr>
      </w:pPr>
      <w:r w:rsidRPr="004971C1">
        <w:rPr>
          <w:rFonts w:eastAsia="Times New Roman"/>
          <w:i/>
        </w:rPr>
        <w:t>Consider the listed factors and any other factors affecting the jurisdiction and region.  Identify factors that significantly create, contribute to, perpetuate, or increase the severity of disparities in access to opportunity.</w:t>
      </w:r>
    </w:p>
    <w:p w14:paraId="5687AE89" w14:textId="77777777" w:rsidR="00565C8B" w:rsidRPr="004971C1" w:rsidRDefault="00565C8B" w:rsidP="00565C8B">
      <w:pPr>
        <w:pStyle w:val="ColorfulList-Accent11"/>
        <w:numPr>
          <w:ilvl w:val="0"/>
          <w:numId w:val="4"/>
        </w:numPr>
        <w:ind w:left="1440" w:right="576"/>
        <w:textAlignment w:val="baseline"/>
        <w:rPr>
          <w:rFonts w:eastAsia="Times New Roman"/>
        </w:rPr>
      </w:pPr>
      <w:r w:rsidRPr="004971C1">
        <w:rPr>
          <w:rFonts w:eastAsia="Times New Roman"/>
        </w:rPr>
        <w:t>Access to financial services</w:t>
      </w:r>
    </w:p>
    <w:p w14:paraId="2E3FAC11" w14:textId="77777777" w:rsidR="00565C8B" w:rsidRDefault="00565C8B" w:rsidP="00565C8B">
      <w:pPr>
        <w:pStyle w:val="ColorfulList-Accent11"/>
        <w:numPr>
          <w:ilvl w:val="0"/>
          <w:numId w:val="4"/>
        </w:numPr>
        <w:ind w:left="1440" w:right="576"/>
        <w:textAlignment w:val="baseline"/>
        <w:rPr>
          <w:rFonts w:eastAsia="Times New Roman"/>
        </w:rPr>
      </w:pPr>
      <w:r>
        <w:rPr>
          <w:rFonts w:eastAsia="Times New Roman"/>
        </w:rPr>
        <w:t>A</w:t>
      </w:r>
      <w:r w:rsidRPr="004971C1">
        <w:rPr>
          <w:rFonts w:eastAsia="Times New Roman"/>
        </w:rPr>
        <w:t>vailability, type, frequency, and reliability of public transportation</w:t>
      </w:r>
    </w:p>
    <w:p w14:paraId="5BB8CA09" w14:textId="77777777" w:rsidR="00565C8B" w:rsidRDefault="00565C8B" w:rsidP="00565C8B">
      <w:pPr>
        <w:pStyle w:val="ColorfulList-Accent11"/>
        <w:numPr>
          <w:ilvl w:val="0"/>
          <w:numId w:val="4"/>
        </w:numPr>
        <w:ind w:left="1440" w:right="576"/>
        <w:textAlignment w:val="baseline"/>
        <w:rPr>
          <w:rFonts w:eastAsia="Times New Roman"/>
        </w:rPr>
      </w:pPr>
      <w:r>
        <w:rPr>
          <w:rFonts w:eastAsia="Times New Roman"/>
        </w:rPr>
        <w:t>Impediments to mobility</w:t>
      </w:r>
    </w:p>
    <w:p w14:paraId="5B2BAE82" w14:textId="77777777" w:rsidR="00565C8B" w:rsidRPr="00185531" w:rsidRDefault="00565C8B" w:rsidP="00565C8B">
      <w:pPr>
        <w:pStyle w:val="ColorfulList-Accent11"/>
        <w:numPr>
          <w:ilvl w:val="0"/>
          <w:numId w:val="4"/>
        </w:numPr>
        <w:ind w:left="1440" w:right="576"/>
        <w:textAlignment w:val="baseline"/>
        <w:rPr>
          <w:rFonts w:eastAsia="Times New Roman"/>
          <w:b/>
        </w:rPr>
      </w:pPr>
      <w:r w:rsidRPr="00185531">
        <w:rPr>
          <w:rFonts w:eastAsia="Times New Roman"/>
          <w:b/>
        </w:rPr>
        <w:t>Lack of access to opportunity due to high housing costs</w:t>
      </w:r>
    </w:p>
    <w:p w14:paraId="35D29901" w14:textId="77777777" w:rsidR="00565C8B" w:rsidRDefault="00565C8B" w:rsidP="00565C8B">
      <w:pPr>
        <w:pStyle w:val="ColorfulList-Accent11"/>
        <w:numPr>
          <w:ilvl w:val="0"/>
          <w:numId w:val="4"/>
        </w:numPr>
        <w:ind w:left="1440" w:right="576"/>
        <w:textAlignment w:val="baseline"/>
        <w:rPr>
          <w:rFonts w:eastAsia="Times New Roman"/>
        </w:rPr>
      </w:pPr>
      <w:r w:rsidRPr="004971C1">
        <w:rPr>
          <w:rFonts w:eastAsia="Times New Roman"/>
        </w:rPr>
        <w:t>Lack of private investments in specific neighborhoods</w:t>
      </w:r>
    </w:p>
    <w:p w14:paraId="6B4484CA" w14:textId="77777777" w:rsidR="00565C8B" w:rsidRPr="00185531" w:rsidRDefault="00565C8B" w:rsidP="00565C8B">
      <w:pPr>
        <w:pStyle w:val="ColorfulList-Accent11"/>
        <w:numPr>
          <w:ilvl w:val="0"/>
          <w:numId w:val="4"/>
        </w:numPr>
        <w:ind w:left="1440" w:right="576"/>
        <w:textAlignment w:val="baseline"/>
        <w:rPr>
          <w:rFonts w:eastAsia="Times New Roman"/>
          <w:b/>
        </w:rPr>
      </w:pPr>
      <w:r w:rsidRPr="00185531">
        <w:rPr>
          <w:rFonts w:eastAsia="Times New Roman"/>
          <w:b/>
        </w:rPr>
        <w:t xml:space="preserve">Lack of public investments in specific neighborhoods, including services or amenities </w:t>
      </w:r>
    </w:p>
    <w:p w14:paraId="3EA739E3" w14:textId="77777777" w:rsidR="00565C8B" w:rsidRPr="00B50EA6" w:rsidRDefault="00565C8B" w:rsidP="00565C8B">
      <w:pPr>
        <w:pStyle w:val="ColorfulList-Accent11"/>
        <w:numPr>
          <w:ilvl w:val="0"/>
          <w:numId w:val="4"/>
        </w:numPr>
        <w:ind w:left="1440" w:right="576"/>
        <w:textAlignment w:val="baseline"/>
        <w:rPr>
          <w:rFonts w:eastAsia="Times New Roman"/>
        </w:rPr>
      </w:pPr>
      <w:r w:rsidRPr="00B50EA6">
        <w:rPr>
          <w:rFonts w:eastAsia="Times New Roman"/>
          <w:spacing w:val="-2"/>
        </w:rPr>
        <w:t>Lack of local or regional cooperation</w:t>
      </w:r>
    </w:p>
    <w:p w14:paraId="306480B9" w14:textId="77777777" w:rsidR="00565C8B" w:rsidRPr="00B50EA6" w:rsidRDefault="00565C8B" w:rsidP="00565C8B">
      <w:pPr>
        <w:pStyle w:val="ColorfulList-Accent11"/>
        <w:numPr>
          <w:ilvl w:val="0"/>
          <w:numId w:val="4"/>
        </w:numPr>
        <w:ind w:left="1440" w:right="576"/>
        <w:textAlignment w:val="baseline"/>
        <w:rPr>
          <w:rFonts w:eastAsia="Times New Roman"/>
        </w:rPr>
      </w:pPr>
      <w:r w:rsidRPr="00B50EA6">
        <w:rPr>
          <w:rFonts w:eastAsia="Times New Roman"/>
        </w:rPr>
        <w:t>Land use and zoning laws</w:t>
      </w:r>
      <w:r w:rsidRPr="00B50EA6">
        <w:rPr>
          <w:rFonts w:eastAsia="Times New Roman"/>
          <w:spacing w:val="-2"/>
        </w:rPr>
        <w:t xml:space="preserve"> </w:t>
      </w:r>
    </w:p>
    <w:p w14:paraId="1AAB0915" w14:textId="77777777" w:rsidR="00565C8B" w:rsidRPr="00B50EA6" w:rsidRDefault="00565C8B" w:rsidP="00565C8B">
      <w:pPr>
        <w:pStyle w:val="ColorfulList-Accent11"/>
        <w:numPr>
          <w:ilvl w:val="0"/>
          <w:numId w:val="4"/>
        </w:numPr>
        <w:ind w:left="1440" w:right="576"/>
        <w:textAlignment w:val="baseline"/>
        <w:rPr>
          <w:rFonts w:eastAsia="Times New Roman"/>
        </w:rPr>
      </w:pPr>
      <w:r w:rsidRPr="00B50EA6">
        <w:rPr>
          <w:rFonts w:eastAsia="Times New Roman"/>
          <w:spacing w:val="-2"/>
        </w:rPr>
        <w:t>Lending discrimination</w:t>
      </w:r>
    </w:p>
    <w:p w14:paraId="2E88363C" w14:textId="77777777" w:rsidR="00565C8B" w:rsidRPr="00185531" w:rsidRDefault="00565C8B" w:rsidP="00565C8B">
      <w:pPr>
        <w:pStyle w:val="ColorfulList-Accent11"/>
        <w:numPr>
          <w:ilvl w:val="0"/>
          <w:numId w:val="4"/>
        </w:numPr>
        <w:ind w:left="1440" w:right="576"/>
        <w:textAlignment w:val="baseline"/>
        <w:rPr>
          <w:rFonts w:eastAsia="Times New Roman"/>
          <w:b/>
        </w:rPr>
      </w:pPr>
      <w:r w:rsidRPr="00185531">
        <w:rPr>
          <w:rFonts w:eastAsia="Times New Roman"/>
          <w:b/>
        </w:rPr>
        <w:t>Location and type of affordable housing</w:t>
      </w:r>
    </w:p>
    <w:p w14:paraId="3A9559D7" w14:textId="77777777" w:rsidR="00565C8B" w:rsidRDefault="00565C8B" w:rsidP="00565C8B">
      <w:pPr>
        <w:pStyle w:val="ColorfulList-Accent11"/>
        <w:numPr>
          <w:ilvl w:val="0"/>
          <w:numId w:val="4"/>
        </w:numPr>
        <w:ind w:left="1440" w:right="576"/>
        <w:textAlignment w:val="baseline"/>
        <w:rPr>
          <w:rFonts w:eastAsia="Times New Roman"/>
        </w:rPr>
      </w:pPr>
      <w:r w:rsidRPr="00B50EA6">
        <w:rPr>
          <w:rFonts w:eastAsia="Times New Roman"/>
        </w:rPr>
        <w:t>Location of employers</w:t>
      </w:r>
    </w:p>
    <w:p w14:paraId="0EA44FDF" w14:textId="77777777" w:rsidR="00565C8B" w:rsidRDefault="00565C8B" w:rsidP="00565C8B">
      <w:pPr>
        <w:pStyle w:val="ColorfulList-Accent11"/>
        <w:numPr>
          <w:ilvl w:val="0"/>
          <w:numId w:val="4"/>
        </w:numPr>
        <w:ind w:left="1440" w:right="576"/>
        <w:textAlignment w:val="baseline"/>
        <w:rPr>
          <w:rFonts w:eastAsia="Times New Roman"/>
        </w:rPr>
      </w:pPr>
      <w:r w:rsidRPr="00B50EA6">
        <w:rPr>
          <w:rFonts w:eastAsia="Times New Roman"/>
        </w:rPr>
        <w:t>Location of environmental health hazards</w:t>
      </w:r>
    </w:p>
    <w:p w14:paraId="5098CB6B" w14:textId="77777777" w:rsidR="00565C8B" w:rsidRPr="00185531" w:rsidRDefault="00565C8B" w:rsidP="00565C8B">
      <w:pPr>
        <w:pStyle w:val="ColorfulList-Accent11"/>
        <w:numPr>
          <w:ilvl w:val="0"/>
          <w:numId w:val="4"/>
        </w:numPr>
        <w:ind w:left="1440" w:right="576"/>
        <w:textAlignment w:val="baseline"/>
        <w:rPr>
          <w:rFonts w:eastAsia="Times New Roman"/>
          <w:b/>
        </w:rPr>
      </w:pPr>
      <w:r w:rsidRPr="00185531">
        <w:rPr>
          <w:rFonts w:eastAsia="Times New Roman"/>
          <w:b/>
        </w:rPr>
        <w:t>Location of proficient schools and school assignment policies</w:t>
      </w:r>
    </w:p>
    <w:p w14:paraId="10C0A490" w14:textId="77777777" w:rsidR="00565C8B" w:rsidRPr="00185531" w:rsidRDefault="00565C8B" w:rsidP="00565C8B">
      <w:pPr>
        <w:pStyle w:val="ColorfulList-Accent11"/>
        <w:numPr>
          <w:ilvl w:val="0"/>
          <w:numId w:val="4"/>
        </w:numPr>
        <w:ind w:left="1440" w:right="576"/>
        <w:textAlignment w:val="baseline"/>
        <w:rPr>
          <w:rFonts w:eastAsia="Times New Roman"/>
          <w:b/>
        </w:rPr>
      </w:pPr>
      <w:r w:rsidRPr="00185531">
        <w:rPr>
          <w:rFonts w:eastAsia="Times New Roman"/>
          <w:b/>
        </w:rPr>
        <w:lastRenderedPageBreak/>
        <w:t xml:space="preserve">Loss of Affordable Housing </w:t>
      </w:r>
    </w:p>
    <w:p w14:paraId="4975CFE0" w14:textId="77777777" w:rsidR="00565C8B" w:rsidRDefault="00565C8B" w:rsidP="00565C8B">
      <w:pPr>
        <w:numPr>
          <w:ilvl w:val="0"/>
          <w:numId w:val="2"/>
        </w:numPr>
        <w:tabs>
          <w:tab w:val="clear" w:pos="360"/>
        </w:tabs>
        <w:ind w:left="1440" w:hanging="360"/>
        <w:jc w:val="both"/>
        <w:textAlignment w:val="baseline"/>
        <w:rPr>
          <w:rFonts w:eastAsia="Times New Roman"/>
        </w:rPr>
      </w:pPr>
      <w:r w:rsidRPr="004971C1">
        <w:rPr>
          <w:rFonts w:eastAsia="Times New Roman"/>
        </w:rPr>
        <w:t>Occupancy codes and restrictions</w:t>
      </w:r>
    </w:p>
    <w:p w14:paraId="47B49A9E" w14:textId="77777777" w:rsidR="00565C8B" w:rsidRDefault="00565C8B" w:rsidP="00565C8B">
      <w:pPr>
        <w:numPr>
          <w:ilvl w:val="0"/>
          <w:numId w:val="2"/>
        </w:numPr>
        <w:tabs>
          <w:tab w:val="clear" w:pos="360"/>
        </w:tabs>
        <w:ind w:left="1440" w:hanging="360"/>
        <w:jc w:val="both"/>
        <w:textAlignment w:val="baseline"/>
        <w:rPr>
          <w:rFonts w:eastAsia="Times New Roman"/>
        </w:rPr>
      </w:pPr>
      <w:r w:rsidRPr="00B50EA6">
        <w:rPr>
          <w:rFonts w:eastAsia="Times New Roman"/>
          <w:spacing w:val="-2"/>
        </w:rPr>
        <w:t xml:space="preserve">Private discrimination </w:t>
      </w:r>
    </w:p>
    <w:p w14:paraId="769C7BDB" w14:textId="77777777" w:rsidR="00565C8B" w:rsidRDefault="00565C8B" w:rsidP="00565C8B">
      <w:pPr>
        <w:numPr>
          <w:ilvl w:val="0"/>
          <w:numId w:val="2"/>
        </w:numPr>
        <w:tabs>
          <w:tab w:val="clear" w:pos="360"/>
        </w:tabs>
        <w:ind w:left="1440" w:hanging="360"/>
        <w:jc w:val="both"/>
        <w:textAlignment w:val="baseline"/>
        <w:rPr>
          <w:rFonts w:eastAsia="Times New Roman"/>
        </w:rPr>
      </w:pPr>
      <w:r w:rsidRPr="00B50EA6">
        <w:rPr>
          <w:rFonts w:eastAsia="Times New Roman"/>
          <w:spacing w:val="-2"/>
        </w:rPr>
        <w:t>Source of income discrimination</w:t>
      </w:r>
    </w:p>
    <w:p w14:paraId="6C48864E" w14:textId="77777777" w:rsidR="00565C8B" w:rsidRPr="00B50EA6" w:rsidRDefault="00565C8B" w:rsidP="00565C8B">
      <w:pPr>
        <w:numPr>
          <w:ilvl w:val="0"/>
          <w:numId w:val="2"/>
        </w:numPr>
        <w:tabs>
          <w:tab w:val="clear" w:pos="360"/>
        </w:tabs>
        <w:ind w:left="1440" w:hanging="360"/>
        <w:jc w:val="both"/>
        <w:textAlignment w:val="baseline"/>
        <w:rPr>
          <w:rFonts w:eastAsia="Times New Roman"/>
        </w:rPr>
      </w:pPr>
      <w:r w:rsidRPr="00B50EA6">
        <w:rPr>
          <w:rFonts w:eastAsia="Times New Roman"/>
          <w:spacing w:val="1"/>
        </w:rPr>
        <w:t>Other</w:t>
      </w:r>
    </w:p>
    <w:p w14:paraId="35554104" w14:textId="77777777" w:rsidR="00565C8B" w:rsidRPr="004971C1" w:rsidRDefault="00565C8B" w:rsidP="00565C8B">
      <w:pPr>
        <w:tabs>
          <w:tab w:val="left" w:pos="1080"/>
        </w:tabs>
        <w:ind w:left="720"/>
        <w:textAlignment w:val="baseline"/>
        <w:rPr>
          <w:rFonts w:eastAsia="Times New Roman"/>
          <w:spacing w:val="1"/>
        </w:rPr>
      </w:pPr>
    </w:p>
    <w:p w14:paraId="22AC18D6" w14:textId="77777777" w:rsidR="00837810" w:rsidRDefault="00837810"/>
    <w:sectPr w:rsidR="008378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cCarty, Kim" w:date="2018-02-02T14:08:00Z" w:initials="MK">
    <w:p w14:paraId="08D4B476" w14:textId="474F25EB" w:rsidR="00831403" w:rsidRDefault="00831403">
      <w:pPr>
        <w:pStyle w:val="CommentText"/>
      </w:pPr>
      <w:r>
        <w:rPr>
          <w:rStyle w:val="CommentReference"/>
        </w:rPr>
        <w:annotationRef/>
      </w:r>
      <w:r>
        <w:t>We may need a definition of school quality</w:t>
      </w:r>
    </w:p>
  </w:comment>
  <w:comment w:id="1" w:author="McCarty, Kim" w:date="2018-02-02T14:09:00Z" w:initials="MK">
    <w:p w14:paraId="189D28E7" w14:textId="07672B52" w:rsidR="00AE2964" w:rsidRDefault="00AE2964">
      <w:pPr>
        <w:pStyle w:val="CommentText"/>
      </w:pPr>
      <w:r>
        <w:rPr>
          <w:rStyle w:val="CommentReference"/>
        </w:rPr>
        <w:annotationRef/>
      </w:r>
      <w:r>
        <w:t xml:space="preserve">Do the disparities in quality education access correspond to patterns in access to housing? </w:t>
      </w:r>
    </w:p>
  </w:comment>
  <w:comment w:id="2" w:author="Airi, Nikhita" w:date="2018-02-01T17:54:00Z" w:initials="NA">
    <w:p w14:paraId="6F65FDE7" w14:textId="77777777" w:rsidR="00185531" w:rsidRDefault="00185531">
      <w:pPr>
        <w:pStyle w:val="CommentText"/>
      </w:pPr>
      <w:r>
        <w:rPr>
          <w:rStyle w:val="CommentReference"/>
        </w:rPr>
        <w:annotationRef/>
      </w:r>
      <w:r>
        <w:t>Will add as I find more information, same for other sections (iii)</w:t>
      </w:r>
    </w:p>
  </w:comment>
  <w:comment w:id="3" w:author="Airi, Nikhita" w:date="2018-02-01T17:52:00Z" w:initials="NA">
    <w:p w14:paraId="36CA7357" w14:textId="77777777" w:rsidR="00185531" w:rsidRDefault="00185531">
      <w:pPr>
        <w:pStyle w:val="CommentText"/>
      </w:pPr>
      <w:r>
        <w:rPr>
          <w:rStyle w:val="CommentReference"/>
        </w:rPr>
        <w:annotationRef/>
      </w:r>
      <w:r>
        <w:t>TBD</w:t>
      </w:r>
    </w:p>
  </w:comment>
  <w:comment w:id="4" w:author="Airi, Nikhita" w:date="2018-02-01T17:53:00Z" w:initials="NA">
    <w:p w14:paraId="0FB7A427" w14:textId="77777777" w:rsidR="00185531" w:rsidRDefault="00185531">
      <w:pPr>
        <w:pStyle w:val="CommentText"/>
      </w:pPr>
      <w:r>
        <w:rPr>
          <w:rStyle w:val="CommentReference"/>
        </w:rPr>
        <w:annotationRef/>
      </w:r>
      <w:r>
        <w:t>TBD</w:t>
      </w:r>
    </w:p>
  </w:comment>
  <w:comment w:id="5" w:author="Airi, Nikhita" w:date="2018-02-01T17:53:00Z" w:initials="NA">
    <w:p w14:paraId="132133F4" w14:textId="77777777" w:rsidR="00185531" w:rsidRDefault="00185531">
      <w:pPr>
        <w:pStyle w:val="CommentText"/>
      </w:pPr>
      <w:r>
        <w:rPr>
          <w:rStyle w:val="CommentReference"/>
        </w:rPr>
        <w:annotationRef/>
      </w:r>
      <w:r>
        <w:t>My guesses bolded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D4B476" w15:done="0"/>
  <w15:commentEx w15:paraId="189D28E7" w15:done="0"/>
  <w15:commentEx w15:paraId="6F65FDE7" w15:done="0"/>
  <w15:commentEx w15:paraId="36CA7357" w15:done="0"/>
  <w15:commentEx w15:paraId="0FB7A427" w15:done="0"/>
  <w15:commentEx w15:paraId="132133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4B476" w16cid:durableId="1E9C1CE2"/>
  <w16cid:commentId w16cid:paraId="189D28E7" w16cid:durableId="1E9C1CE3"/>
  <w16cid:commentId w16cid:paraId="6F65FDE7" w16cid:durableId="1E9C1CE4"/>
  <w16cid:commentId w16cid:paraId="0FB7A427" w16cid:durableId="1E9C1CE5"/>
  <w16cid:commentId w16cid:paraId="132133F4" w16cid:durableId="1E9C1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7E492" w14:textId="77777777" w:rsidR="001400EB" w:rsidRDefault="001400EB" w:rsidP="008D1C23">
      <w:r>
        <w:separator/>
      </w:r>
    </w:p>
  </w:endnote>
  <w:endnote w:type="continuationSeparator" w:id="0">
    <w:p w14:paraId="7D68AC48" w14:textId="77777777" w:rsidR="001400EB" w:rsidRDefault="001400EB" w:rsidP="008D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E193" w14:textId="77777777" w:rsidR="002B2797" w:rsidRDefault="002B2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18A0" w14:textId="77777777" w:rsidR="002B2797" w:rsidRDefault="002B2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FBA5" w14:textId="77777777" w:rsidR="002B2797" w:rsidRDefault="002B2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423B" w14:textId="77777777" w:rsidR="001400EB" w:rsidRDefault="001400EB" w:rsidP="008D1C23">
      <w:r>
        <w:separator/>
      </w:r>
    </w:p>
  </w:footnote>
  <w:footnote w:type="continuationSeparator" w:id="0">
    <w:p w14:paraId="11E67275" w14:textId="77777777" w:rsidR="001400EB" w:rsidRDefault="001400EB" w:rsidP="008D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C384F" w14:textId="77777777" w:rsidR="002B2797" w:rsidRDefault="002B2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A1E9" w14:textId="6B53E667" w:rsidR="002B2797" w:rsidRDefault="002B2797">
    <w:pPr>
      <w:pStyle w:val="Header"/>
    </w:pPr>
    <w:sdt>
      <w:sdtPr>
        <w:id w:val="427160902"/>
        <w:docPartObj>
          <w:docPartGallery w:val="Watermarks"/>
          <w:docPartUnique/>
        </w:docPartObj>
      </w:sdtPr>
      <w:sdtContent>
        <w:r>
          <w:rPr>
            <w:noProof/>
          </w:rPr>
          <w:pict w14:anchorId="027FB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Draft February 2018</w:t>
    </w:r>
    <w:bookmarkStart w:id="6" w:name="_GoBack"/>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E0DFF" w14:textId="77777777" w:rsidR="002B2797" w:rsidRDefault="002B2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4EF"/>
    <w:multiLevelType w:val="multilevel"/>
    <w:tmpl w:val="501003FA"/>
    <w:lvl w:ilvl="0">
      <w:start w:val="1"/>
      <w:numFmt w:val="lowerLetter"/>
      <w:lvlText w:val="%1."/>
      <w:lvlJc w:val="left"/>
      <w:pPr>
        <w:tabs>
          <w:tab w:val="left" w:pos="360"/>
        </w:tabs>
        <w:ind w:left="720"/>
      </w:pPr>
      <w:rPr>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C1ADB"/>
    <w:multiLevelType w:val="hybridMultilevel"/>
    <w:tmpl w:val="EF30C0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F4C20"/>
    <w:multiLevelType w:val="multilevel"/>
    <w:tmpl w:val="00E24520"/>
    <w:lvl w:ilvl="0">
      <w:start w:val="1"/>
      <w:numFmt w:val="bullet"/>
      <w:lvlText w:val=""/>
      <w:lvlJc w:val="left"/>
      <w:pPr>
        <w:tabs>
          <w:tab w:val="left" w:pos="360"/>
        </w:tabs>
        <w:ind w:left="720"/>
      </w:pPr>
      <w:rPr>
        <w:rFonts w:ascii="Symbol" w:hAnsi="Symbol" w:hint="default"/>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F2677"/>
    <w:multiLevelType w:val="multilevel"/>
    <w:tmpl w:val="FAB0DC7E"/>
    <w:lvl w:ilvl="0">
      <w:start w:val="1"/>
      <w:numFmt w:val="upperLetter"/>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start w:val="1"/>
      <w:numFmt w:val="lowerRoman"/>
      <w:lvlText w:val="%2."/>
      <w:lvlJc w:val="left"/>
      <w:rPr>
        <w:rFonts w:ascii="Times New Roman" w:eastAsia="Times New Roma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BF3E96"/>
    <w:multiLevelType w:val="hybridMultilevel"/>
    <w:tmpl w:val="67849F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C404AB"/>
    <w:multiLevelType w:val="hybridMultilevel"/>
    <w:tmpl w:val="60F289CE"/>
    <w:lvl w:ilvl="0" w:tplc="3BC09A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D8502A6"/>
    <w:multiLevelType w:val="hybridMultilevel"/>
    <w:tmpl w:val="09520422"/>
    <w:lvl w:ilvl="0" w:tplc="03F400D2">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683FBC"/>
    <w:multiLevelType w:val="hybridMultilevel"/>
    <w:tmpl w:val="A3D4A9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BA41BE"/>
    <w:multiLevelType w:val="hybridMultilevel"/>
    <w:tmpl w:val="AA4815C4"/>
    <w:lvl w:ilvl="0" w:tplc="0409001B">
      <w:start w:val="1"/>
      <w:numFmt w:val="lowerRoman"/>
      <w:lvlText w:val="%1."/>
      <w:lvlJc w:val="right"/>
      <w:pPr>
        <w:ind w:left="15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AED20E9"/>
    <w:multiLevelType w:val="hybridMultilevel"/>
    <w:tmpl w:val="370E5C96"/>
    <w:lvl w:ilvl="0" w:tplc="7916A24C">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05441"/>
    <w:multiLevelType w:val="hybridMultilevel"/>
    <w:tmpl w:val="55FAABC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15:restartNumberingAfterBreak="0">
    <w:nsid w:val="7D2678AD"/>
    <w:multiLevelType w:val="hybridMultilevel"/>
    <w:tmpl w:val="D024A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4E1E4B"/>
    <w:multiLevelType w:val="hybridMultilevel"/>
    <w:tmpl w:val="D1F88D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0"/>
  </w:num>
  <w:num w:numId="5">
    <w:abstractNumId w:val="6"/>
  </w:num>
  <w:num w:numId="6">
    <w:abstractNumId w:val="5"/>
  </w:num>
  <w:num w:numId="7">
    <w:abstractNumId w:val="7"/>
  </w:num>
  <w:num w:numId="8">
    <w:abstractNumId w:val="1"/>
  </w:num>
  <w:num w:numId="9">
    <w:abstractNumId w:val="12"/>
  </w:num>
  <w:num w:numId="10">
    <w:abstractNumId w:val="11"/>
  </w:num>
  <w:num w:numId="11">
    <w:abstractNumId w:val="4"/>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Carty, Kim">
    <w15:presenceInfo w15:providerId="AD" w15:userId="S-1-5-21-1562068243-3890762121-1459926415-56695"/>
  </w15:person>
  <w15:person w15:author="Airi, Nikhita">
    <w15:presenceInfo w15:providerId="AD" w15:userId="S-1-5-21-1562068243-3890762121-1459926415-94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8B"/>
    <w:rsid w:val="000000A9"/>
    <w:rsid w:val="000211A7"/>
    <w:rsid w:val="0007678F"/>
    <w:rsid w:val="000A50A7"/>
    <w:rsid w:val="00110DE8"/>
    <w:rsid w:val="00114917"/>
    <w:rsid w:val="001400EB"/>
    <w:rsid w:val="00171A21"/>
    <w:rsid w:val="0018459B"/>
    <w:rsid w:val="00185531"/>
    <w:rsid w:val="002A5105"/>
    <w:rsid w:val="002B2797"/>
    <w:rsid w:val="002E5308"/>
    <w:rsid w:val="003A1495"/>
    <w:rsid w:val="003B0A8E"/>
    <w:rsid w:val="003E0684"/>
    <w:rsid w:val="00401737"/>
    <w:rsid w:val="0049000A"/>
    <w:rsid w:val="005153BB"/>
    <w:rsid w:val="00522A4A"/>
    <w:rsid w:val="00565C8B"/>
    <w:rsid w:val="006417DB"/>
    <w:rsid w:val="006969BE"/>
    <w:rsid w:val="00737BBC"/>
    <w:rsid w:val="00743422"/>
    <w:rsid w:val="00763F14"/>
    <w:rsid w:val="007979E0"/>
    <w:rsid w:val="00831403"/>
    <w:rsid w:val="00837810"/>
    <w:rsid w:val="008D1C23"/>
    <w:rsid w:val="00AE2964"/>
    <w:rsid w:val="00AF12CD"/>
    <w:rsid w:val="00B17DFD"/>
    <w:rsid w:val="00B23A5D"/>
    <w:rsid w:val="00B90F17"/>
    <w:rsid w:val="00B9633B"/>
    <w:rsid w:val="00BD3100"/>
    <w:rsid w:val="00BE4374"/>
    <w:rsid w:val="00C4457B"/>
    <w:rsid w:val="00D66F94"/>
    <w:rsid w:val="00D747C9"/>
    <w:rsid w:val="00EB5A9D"/>
    <w:rsid w:val="00F83D6A"/>
    <w:rsid w:val="00FC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60F097"/>
  <w15:chartTrackingRefBased/>
  <w15:docId w15:val="{1D2C2EC5-7E48-4296-B9D9-6B1479FF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C8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65C8B"/>
    <w:pPr>
      <w:ind w:left="720"/>
      <w:contextualSpacing/>
    </w:pPr>
  </w:style>
  <w:style w:type="paragraph" w:styleId="ListParagraph">
    <w:name w:val="List Paragraph"/>
    <w:basedOn w:val="Normal"/>
    <w:link w:val="ListParagraphChar"/>
    <w:uiPriority w:val="34"/>
    <w:qFormat/>
    <w:rsid w:val="00565C8B"/>
    <w:pPr>
      <w:ind w:left="720"/>
    </w:pPr>
  </w:style>
  <w:style w:type="character" w:customStyle="1" w:styleId="ListParagraphChar">
    <w:name w:val="List Paragraph Char"/>
    <w:basedOn w:val="DefaultParagraphFont"/>
    <w:link w:val="ListParagraph"/>
    <w:uiPriority w:val="34"/>
    <w:locked/>
    <w:rsid w:val="00565C8B"/>
    <w:rPr>
      <w:rFonts w:ascii="Times New Roman" w:eastAsia="PMingLiU" w:hAnsi="Times New Roman" w:cs="Times New Roman"/>
    </w:rPr>
  </w:style>
  <w:style w:type="paragraph" w:styleId="Header">
    <w:name w:val="header"/>
    <w:basedOn w:val="Normal"/>
    <w:link w:val="HeaderChar"/>
    <w:uiPriority w:val="99"/>
    <w:unhideWhenUsed/>
    <w:rsid w:val="008D1C23"/>
    <w:pPr>
      <w:tabs>
        <w:tab w:val="center" w:pos="4680"/>
        <w:tab w:val="right" w:pos="9360"/>
      </w:tabs>
    </w:pPr>
  </w:style>
  <w:style w:type="character" w:customStyle="1" w:styleId="HeaderChar">
    <w:name w:val="Header Char"/>
    <w:basedOn w:val="DefaultParagraphFont"/>
    <w:link w:val="Header"/>
    <w:uiPriority w:val="99"/>
    <w:rsid w:val="008D1C23"/>
    <w:rPr>
      <w:rFonts w:ascii="Times New Roman" w:eastAsia="PMingLiU" w:hAnsi="Times New Roman" w:cs="Times New Roman"/>
    </w:rPr>
  </w:style>
  <w:style w:type="paragraph" w:styleId="Footer">
    <w:name w:val="footer"/>
    <w:basedOn w:val="Normal"/>
    <w:link w:val="FooterChar"/>
    <w:uiPriority w:val="99"/>
    <w:unhideWhenUsed/>
    <w:rsid w:val="008D1C23"/>
    <w:pPr>
      <w:tabs>
        <w:tab w:val="center" w:pos="4680"/>
        <w:tab w:val="right" w:pos="9360"/>
      </w:tabs>
    </w:pPr>
  </w:style>
  <w:style w:type="character" w:customStyle="1" w:styleId="FooterChar">
    <w:name w:val="Footer Char"/>
    <w:basedOn w:val="DefaultParagraphFont"/>
    <w:link w:val="Footer"/>
    <w:uiPriority w:val="99"/>
    <w:rsid w:val="008D1C23"/>
    <w:rPr>
      <w:rFonts w:ascii="Times New Roman" w:eastAsia="PMingLiU" w:hAnsi="Times New Roman" w:cs="Times New Roman"/>
    </w:rPr>
  </w:style>
  <w:style w:type="character" w:styleId="CommentReference">
    <w:name w:val="annotation reference"/>
    <w:basedOn w:val="DefaultParagraphFont"/>
    <w:uiPriority w:val="99"/>
    <w:semiHidden/>
    <w:unhideWhenUsed/>
    <w:rsid w:val="00185531"/>
    <w:rPr>
      <w:sz w:val="16"/>
      <w:szCs w:val="16"/>
    </w:rPr>
  </w:style>
  <w:style w:type="paragraph" w:styleId="CommentText">
    <w:name w:val="annotation text"/>
    <w:basedOn w:val="Normal"/>
    <w:link w:val="CommentTextChar"/>
    <w:uiPriority w:val="99"/>
    <w:semiHidden/>
    <w:unhideWhenUsed/>
    <w:rsid w:val="00185531"/>
    <w:rPr>
      <w:sz w:val="20"/>
      <w:szCs w:val="20"/>
    </w:rPr>
  </w:style>
  <w:style w:type="character" w:customStyle="1" w:styleId="CommentTextChar">
    <w:name w:val="Comment Text Char"/>
    <w:basedOn w:val="DefaultParagraphFont"/>
    <w:link w:val="CommentText"/>
    <w:uiPriority w:val="99"/>
    <w:semiHidden/>
    <w:rsid w:val="00185531"/>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5531"/>
    <w:rPr>
      <w:b/>
      <w:bCs/>
    </w:rPr>
  </w:style>
  <w:style w:type="character" w:customStyle="1" w:styleId="CommentSubjectChar">
    <w:name w:val="Comment Subject Char"/>
    <w:basedOn w:val="CommentTextChar"/>
    <w:link w:val="CommentSubject"/>
    <w:uiPriority w:val="99"/>
    <w:semiHidden/>
    <w:rsid w:val="00185531"/>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185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1"/>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Kim</dc:creator>
  <cp:keywords/>
  <dc:description/>
  <cp:lastModifiedBy>McCarty, Kim</cp:lastModifiedBy>
  <cp:revision>4</cp:revision>
  <dcterms:created xsi:type="dcterms:W3CDTF">2018-02-02T21:59:00Z</dcterms:created>
  <dcterms:modified xsi:type="dcterms:W3CDTF">2018-05-08T19:57:00Z</dcterms:modified>
</cp:coreProperties>
</file>