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49C90" w14:textId="77777777" w:rsidR="000B7BDE" w:rsidRPr="00BB3598" w:rsidRDefault="000B7BDE" w:rsidP="00BB3598">
      <w:pPr>
        <w:pStyle w:val="ColorfulList-Accent11"/>
        <w:numPr>
          <w:ilvl w:val="0"/>
          <w:numId w:val="6"/>
        </w:numPr>
        <w:spacing w:after="240"/>
        <w:ind w:left="720" w:hanging="540"/>
        <w:textAlignment w:val="baseline"/>
        <w:rPr>
          <w:rFonts w:eastAsia="Times New Roman"/>
        </w:rPr>
      </w:pPr>
      <w:r w:rsidRPr="004971C1">
        <w:rPr>
          <w:rFonts w:eastAsia="Times New Roman"/>
          <w:b/>
          <w:spacing w:val="-1"/>
          <w:u w:val="single"/>
        </w:rPr>
        <w:t>Disability and Access Analysis</w:t>
      </w:r>
    </w:p>
    <w:p w14:paraId="233720BF" w14:textId="77777777" w:rsidR="000B7BDE" w:rsidRPr="004971C1" w:rsidRDefault="000B7BDE" w:rsidP="000B7BDE">
      <w:pPr>
        <w:pStyle w:val="ColorfulList-Accent11"/>
        <w:numPr>
          <w:ilvl w:val="0"/>
          <w:numId w:val="7"/>
        </w:numPr>
        <w:spacing w:after="240"/>
        <w:ind w:left="720"/>
        <w:textAlignment w:val="baseline"/>
        <w:rPr>
          <w:rFonts w:eastAsia="Times New Roman"/>
          <w:b/>
          <w:spacing w:val="7"/>
        </w:rPr>
      </w:pPr>
      <w:r w:rsidRPr="004971C1">
        <w:rPr>
          <w:rFonts w:eastAsia="Times New Roman"/>
          <w:b/>
          <w:spacing w:val="7"/>
        </w:rPr>
        <w:t>Population Profile</w:t>
      </w:r>
    </w:p>
    <w:p w14:paraId="14F01076" w14:textId="45D0FD25" w:rsidR="00AD15C9" w:rsidRDefault="00CF2B29" w:rsidP="00AD15C9">
      <w:pPr>
        <w:tabs>
          <w:tab w:val="left" w:pos="360"/>
        </w:tabs>
        <w:spacing w:after="240"/>
        <w:ind w:left="1080" w:right="432"/>
        <w:textAlignment w:val="baseline"/>
        <w:rPr>
          <w:rFonts w:eastAsia="Times New Roman"/>
          <w:spacing w:val="-2"/>
        </w:rPr>
      </w:pPr>
      <w:r>
        <w:rPr>
          <w:rFonts w:eastAsia="Times New Roman"/>
          <w:spacing w:val="-2"/>
        </w:rPr>
        <w:t xml:space="preserve">There are significant data gaps </w:t>
      </w:r>
      <w:r w:rsidR="00AD15C9">
        <w:rPr>
          <w:rFonts w:eastAsia="Times New Roman"/>
          <w:spacing w:val="-2"/>
        </w:rPr>
        <w:t>for disabled persons from the local to national lev</w:t>
      </w:r>
      <w:r w:rsidR="00AE0EEB">
        <w:rPr>
          <w:rFonts w:eastAsia="Times New Roman"/>
          <w:spacing w:val="-2"/>
        </w:rPr>
        <w:t>el</w:t>
      </w:r>
      <w:r w:rsidR="00AD15C9">
        <w:rPr>
          <w:rFonts w:eastAsia="Times New Roman"/>
          <w:spacing w:val="-2"/>
        </w:rPr>
        <w:t>. Of the data available, t</w:t>
      </w:r>
      <w:r>
        <w:rPr>
          <w:rFonts w:eastAsia="Times New Roman"/>
          <w:spacing w:val="-2"/>
        </w:rPr>
        <w:t xml:space="preserve">here are 134,700 </w:t>
      </w:r>
      <w:r w:rsidR="00AD15C9">
        <w:rPr>
          <w:rFonts w:eastAsia="Times New Roman"/>
          <w:spacing w:val="-2"/>
        </w:rPr>
        <w:t xml:space="preserve">documented </w:t>
      </w:r>
      <w:r>
        <w:rPr>
          <w:rFonts w:eastAsia="Times New Roman"/>
          <w:spacing w:val="-2"/>
        </w:rPr>
        <w:t>households experiencing a mental or physical disability</w:t>
      </w:r>
      <w:r w:rsidR="00AD15C9">
        <w:rPr>
          <w:rFonts w:eastAsia="Times New Roman"/>
          <w:spacing w:val="-2"/>
        </w:rPr>
        <w:t xml:space="preserve"> in Portland</w:t>
      </w:r>
      <w:r>
        <w:rPr>
          <w:rFonts w:eastAsia="Times New Roman"/>
          <w:spacing w:val="-2"/>
        </w:rPr>
        <w:t xml:space="preserve">. Disabled households make up approximately 24% of </w:t>
      </w:r>
      <w:r w:rsidR="00AD15C9">
        <w:rPr>
          <w:rFonts w:eastAsia="Times New Roman"/>
          <w:spacing w:val="-2"/>
        </w:rPr>
        <w:t xml:space="preserve">Portland’s </w:t>
      </w:r>
      <w:r>
        <w:rPr>
          <w:rFonts w:eastAsia="Times New Roman"/>
          <w:spacing w:val="-2"/>
        </w:rPr>
        <w:t>total population</w:t>
      </w:r>
      <w:r w:rsidR="00AD15C9">
        <w:rPr>
          <w:rFonts w:eastAsia="Times New Roman"/>
          <w:spacing w:val="-2"/>
        </w:rPr>
        <w:t>. Of these</w:t>
      </w:r>
      <w:r w:rsidR="00AE0EEB">
        <w:rPr>
          <w:rFonts w:eastAsia="Times New Roman"/>
          <w:spacing w:val="-2"/>
        </w:rPr>
        <w:t xml:space="preserve"> households</w:t>
      </w:r>
      <w:r>
        <w:rPr>
          <w:rFonts w:eastAsia="Times New Roman"/>
          <w:spacing w:val="-2"/>
        </w:rPr>
        <w:t xml:space="preserve">, about half </w:t>
      </w:r>
      <w:r w:rsidR="00AD15C9">
        <w:rPr>
          <w:rFonts w:eastAsia="Times New Roman"/>
          <w:spacing w:val="-2"/>
        </w:rPr>
        <w:t xml:space="preserve">are </w:t>
      </w:r>
      <w:r>
        <w:rPr>
          <w:rFonts w:eastAsia="Times New Roman"/>
          <w:spacing w:val="-2"/>
        </w:rPr>
        <w:t>ambulatory</w:t>
      </w:r>
      <w:r w:rsidR="00AD15C9">
        <w:rPr>
          <w:rFonts w:eastAsia="Times New Roman"/>
          <w:spacing w:val="-2"/>
        </w:rPr>
        <w:t>, 33,182,</w:t>
      </w:r>
      <w:r>
        <w:rPr>
          <w:rFonts w:eastAsia="Times New Roman"/>
          <w:spacing w:val="-2"/>
        </w:rPr>
        <w:t xml:space="preserve"> or cognitive</w:t>
      </w:r>
      <w:r w:rsidR="00AD15C9">
        <w:rPr>
          <w:rFonts w:eastAsia="Times New Roman"/>
          <w:spacing w:val="-2"/>
        </w:rPr>
        <w:t>, 30,102</w:t>
      </w:r>
      <w:r w:rsidR="00AE0EEB">
        <w:rPr>
          <w:rFonts w:eastAsia="Times New Roman"/>
          <w:spacing w:val="-2"/>
        </w:rPr>
        <w:t xml:space="preserve"> disabilities</w:t>
      </w:r>
      <w:r>
        <w:rPr>
          <w:rFonts w:eastAsia="Times New Roman"/>
          <w:spacing w:val="-2"/>
        </w:rPr>
        <w:t>.</w:t>
      </w:r>
      <w:r w:rsidR="00AE0EEB">
        <w:rPr>
          <w:rFonts w:eastAsia="Times New Roman"/>
          <w:spacing w:val="-2"/>
        </w:rPr>
        <w:t xml:space="preserve"> There are also 26,037 households facing d</w:t>
      </w:r>
      <w:r>
        <w:rPr>
          <w:rFonts w:eastAsia="Times New Roman"/>
          <w:spacing w:val="-2"/>
        </w:rPr>
        <w:t xml:space="preserve">ifficulty with independent </w:t>
      </w:r>
      <w:r w:rsidRPr="00CA5E28">
        <w:rPr>
          <w:rFonts w:eastAsia="Times New Roman"/>
          <w:spacing w:val="-2"/>
        </w:rPr>
        <w:t>living</w:t>
      </w:r>
      <w:r w:rsidR="00AE0EEB" w:rsidRPr="00CA5E28">
        <w:rPr>
          <w:rFonts w:eastAsia="Times New Roman"/>
          <w:spacing w:val="-2"/>
        </w:rPr>
        <w:t xml:space="preserve">. </w:t>
      </w:r>
      <w:r w:rsidR="00E97230" w:rsidRPr="00CA5E28">
        <w:rPr>
          <w:rFonts w:eastAsia="Times New Roman"/>
          <w:spacing w:val="-2"/>
        </w:rPr>
        <w:t xml:space="preserve">See </w:t>
      </w:r>
      <w:r w:rsidR="00CA5E28" w:rsidRPr="00CA5E28">
        <w:rPr>
          <w:rFonts w:eastAsia="Times New Roman"/>
          <w:spacing w:val="-2"/>
        </w:rPr>
        <w:t xml:space="preserve">HUD </w:t>
      </w:r>
      <w:r w:rsidR="00CA5E28">
        <w:rPr>
          <w:rFonts w:eastAsia="Times New Roman"/>
          <w:spacing w:val="-2"/>
        </w:rPr>
        <w:t>table 13, Disability by Type,</w:t>
      </w:r>
      <w:r w:rsidR="00E97230" w:rsidRPr="00CA5E28">
        <w:rPr>
          <w:rFonts w:eastAsia="Times New Roman"/>
          <w:spacing w:val="-2"/>
        </w:rPr>
        <w:t xml:space="preserve"> for</w:t>
      </w:r>
      <w:r w:rsidR="00E97230">
        <w:rPr>
          <w:rFonts w:eastAsia="Times New Roman"/>
          <w:spacing w:val="-2"/>
        </w:rPr>
        <w:t xml:space="preserve"> details on disability type and population. </w:t>
      </w:r>
      <w:r w:rsidR="00AD15C9">
        <w:rPr>
          <w:rFonts w:eastAsia="Times New Roman"/>
          <w:spacing w:val="-2"/>
        </w:rPr>
        <w:t xml:space="preserve"> </w:t>
      </w:r>
    </w:p>
    <w:p w14:paraId="58B446DF" w14:textId="77777777" w:rsidR="00E97230" w:rsidRDefault="00E97230" w:rsidP="004817D1">
      <w:pPr>
        <w:tabs>
          <w:tab w:val="left" w:pos="360"/>
        </w:tabs>
        <w:spacing w:after="240"/>
        <w:ind w:left="1080" w:right="432"/>
        <w:textAlignment w:val="baseline"/>
        <w:rPr>
          <w:rFonts w:eastAsia="Times New Roman"/>
          <w:spacing w:val="-2"/>
        </w:rPr>
      </w:pPr>
      <w:r>
        <w:rPr>
          <w:rFonts w:eastAsia="Times New Roman"/>
          <w:spacing w:val="-2"/>
        </w:rPr>
        <w:t>Using the Fair Housing Assessment maps provided by HUD, the dispersal of households with a disab</w:t>
      </w:r>
      <w:r w:rsidR="009315E0">
        <w:rPr>
          <w:rFonts w:eastAsia="Times New Roman"/>
          <w:spacing w:val="-2"/>
        </w:rPr>
        <w:t xml:space="preserve">ility focuses on the north and east parts of Portland, with the exception of the downtown core. Downtown Portland has a high concentration of housing for households with disabilities potentially due to the concentration of services for low-income households. </w:t>
      </w:r>
    </w:p>
    <w:p w14:paraId="170FC835" w14:textId="77777777" w:rsidR="00BC7926" w:rsidRDefault="009315E0" w:rsidP="0050456A">
      <w:pPr>
        <w:tabs>
          <w:tab w:val="left" w:pos="360"/>
        </w:tabs>
        <w:spacing w:after="240"/>
        <w:ind w:left="1080" w:right="432"/>
        <w:textAlignment w:val="baseline"/>
        <w:rPr>
          <w:rFonts w:eastAsia="Times New Roman"/>
          <w:spacing w:val="-2"/>
        </w:rPr>
      </w:pPr>
      <w:r>
        <w:rPr>
          <w:rFonts w:eastAsia="Times New Roman"/>
          <w:spacing w:val="-2"/>
        </w:rPr>
        <w:t>Generally, there is an even dispersal of disabled households, with no obvious clustering or patterning</w:t>
      </w:r>
      <w:r w:rsidR="0050456A">
        <w:rPr>
          <w:rFonts w:eastAsia="Times New Roman"/>
          <w:spacing w:val="-2"/>
        </w:rPr>
        <w:t xml:space="preserve"> in the east and north parts of the city</w:t>
      </w:r>
      <w:r>
        <w:rPr>
          <w:rFonts w:eastAsia="Times New Roman"/>
          <w:spacing w:val="-2"/>
        </w:rPr>
        <w:t xml:space="preserve">. However, where </w:t>
      </w:r>
      <w:r w:rsidR="0050456A">
        <w:rPr>
          <w:rFonts w:eastAsia="Times New Roman"/>
          <w:spacing w:val="-2"/>
        </w:rPr>
        <w:t>independent living locations exist they commonly appear as small groupings. There is no concentration of disabled households in a R/ECAP because t</w:t>
      </w:r>
      <w:r w:rsidR="00BC7926">
        <w:rPr>
          <w:rFonts w:eastAsia="Times New Roman"/>
          <w:spacing w:val="-2"/>
        </w:rPr>
        <w:t xml:space="preserve">here are </w:t>
      </w:r>
      <w:r w:rsidR="0050456A">
        <w:rPr>
          <w:rFonts w:eastAsia="Times New Roman"/>
          <w:spacing w:val="-2"/>
        </w:rPr>
        <w:t xml:space="preserve">currently </w:t>
      </w:r>
      <w:r w:rsidR="00BC7926">
        <w:rPr>
          <w:rFonts w:eastAsia="Times New Roman"/>
          <w:spacing w:val="-2"/>
        </w:rPr>
        <w:t xml:space="preserve">no R/ECAPs in this jurisdiction. </w:t>
      </w:r>
    </w:p>
    <w:p w14:paraId="53806202" w14:textId="77777777" w:rsidR="00055A36" w:rsidRPr="004971C1" w:rsidRDefault="00530494" w:rsidP="0050456A">
      <w:pPr>
        <w:tabs>
          <w:tab w:val="left" w:pos="360"/>
        </w:tabs>
        <w:spacing w:after="240"/>
        <w:ind w:left="1080" w:right="432"/>
        <w:textAlignment w:val="baseline"/>
        <w:rPr>
          <w:rFonts w:eastAsia="Times New Roman"/>
          <w:spacing w:val="-2"/>
        </w:rPr>
      </w:pPr>
      <w:r>
        <w:rPr>
          <w:rFonts w:eastAsia="Times New Roman"/>
          <w:spacing w:val="-2"/>
        </w:rPr>
        <w:t>The geographic pattern</w:t>
      </w:r>
      <w:r w:rsidR="00055A36">
        <w:rPr>
          <w:rFonts w:eastAsia="Times New Roman"/>
          <w:spacing w:val="-2"/>
        </w:rPr>
        <w:t xml:space="preserve"> for persons w</w:t>
      </w:r>
      <w:r>
        <w:rPr>
          <w:rFonts w:eastAsia="Times New Roman"/>
          <w:spacing w:val="-2"/>
        </w:rPr>
        <w:t xml:space="preserve">ith disabilities based on age follows the same general dispersal pattern as by disability type. There is a high concentration at the downtown core and an even dispersal over the northern and eastern parts of the city. </w:t>
      </w:r>
      <w:r w:rsidR="00C04FDF">
        <w:rPr>
          <w:rFonts w:eastAsia="Times New Roman"/>
          <w:spacing w:val="-2"/>
        </w:rPr>
        <w:t>Most</w:t>
      </w:r>
      <w:r w:rsidR="008E1409">
        <w:rPr>
          <w:rFonts w:eastAsia="Times New Roman"/>
          <w:spacing w:val="-2"/>
        </w:rPr>
        <w:t xml:space="preserve"> </w:t>
      </w:r>
      <w:r w:rsidR="00C04FDF">
        <w:rPr>
          <w:rFonts w:eastAsia="Times New Roman"/>
          <w:spacing w:val="-2"/>
        </w:rPr>
        <w:t>people</w:t>
      </w:r>
      <w:r w:rsidR="008E1409">
        <w:rPr>
          <w:rFonts w:eastAsia="Times New Roman"/>
          <w:spacing w:val="-2"/>
        </w:rPr>
        <w:t xml:space="preserve"> with a disability are between the ages of 18-64, 7.4%. Older adults, 65 and over, </w:t>
      </w:r>
      <w:r w:rsidR="00C04FDF">
        <w:rPr>
          <w:rFonts w:eastAsia="Times New Roman"/>
          <w:spacing w:val="-2"/>
        </w:rPr>
        <w:t xml:space="preserve">are 4.3% of the total population and youth with a disability, aged 5-17, are less than 1% of the population.  </w:t>
      </w:r>
    </w:p>
    <w:p w14:paraId="7F3CCEE0" w14:textId="77777777" w:rsidR="000B7BDE" w:rsidRPr="004971C1" w:rsidRDefault="000B7BDE" w:rsidP="000B7BDE">
      <w:pPr>
        <w:pStyle w:val="ColorfulList-Accent11"/>
        <w:numPr>
          <w:ilvl w:val="0"/>
          <w:numId w:val="7"/>
        </w:numPr>
        <w:spacing w:after="240"/>
        <w:ind w:left="720"/>
        <w:textAlignment w:val="baseline"/>
        <w:rPr>
          <w:rFonts w:eastAsia="Times New Roman"/>
          <w:b/>
          <w:spacing w:val="6"/>
        </w:rPr>
      </w:pPr>
      <w:r w:rsidRPr="004971C1">
        <w:rPr>
          <w:rFonts w:eastAsia="Times New Roman"/>
          <w:b/>
          <w:spacing w:val="6"/>
        </w:rPr>
        <w:t>Housing Accessibility</w:t>
      </w:r>
    </w:p>
    <w:p w14:paraId="5AD953A5" w14:textId="77777777" w:rsidR="001E38DF" w:rsidRDefault="002E1543" w:rsidP="002E1543">
      <w:pPr>
        <w:tabs>
          <w:tab w:val="left" w:pos="360"/>
        </w:tabs>
        <w:spacing w:after="240"/>
        <w:ind w:left="1080" w:right="1008"/>
        <w:textAlignment w:val="baseline"/>
        <w:rPr>
          <w:rFonts w:eastAsia="Times New Roman"/>
        </w:rPr>
      </w:pPr>
      <w:r>
        <w:rPr>
          <w:rFonts w:eastAsia="Times New Roman"/>
        </w:rPr>
        <w:t xml:space="preserve">Data for housing accessibility </w:t>
      </w:r>
      <w:r w:rsidR="00CD5A4D">
        <w:rPr>
          <w:rFonts w:eastAsia="Times New Roman"/>
        </w:rPr>
        <w:t>is</w:t>
      </w:r>
      <w:r>
        <w:rPr>
          <w:rFonts w:eastAsia="Times New Roman"/>
        </w:rPr>
        <w:t xml:space="preserve"> </w:t>
      </w:r>
      <w:r w:rsidR="00CD5A4D">
        <w:rPr>
          <w:rFonts w:eastAsia="Times New Roman"/>
        </w:rPr>
        <w:t>inadequate</w:t>
      </w:r>
      <w:r>
        <w:rPr>
          <w:rFonts w:eastAsia="Times New Roman"/>
        </w:rPr>
        <w:t xml:space="preserve"> nationally and locally. </w:t>
      </w:r>
      <w:r w:rsidR="00CD5A4D">
        <w:rPr>
          <w:rFonts w:eastAsia="Times New Roman"/>
        </w:rPr>
        <w:t xml:space="preserve">There is no inventory of accessible units and census data is limited. It is unclear whether </w:t>
      </w:r>
      <w:r w:rsidR="00B633A4">
        <w:rPr>
          <w:rFonts w:eastAsia="Times New Roman"/>
        </w:rPr>
        <w:t xml:space="preserve">people with a disability have a unit that meets their needs. </w:t>
      </w:r>
      <w:r w:rsidR="00375095">
        <w:rPr>
          <w:rFonts w:eastAsia="Times New Roman"/>
        </w:rPr>
        <w:t xml:space="preserve">This lack of </w:t>
      </w:r>
      <w:r w:rsidR="001E38DF">
        <w:rPr>
          <w:rFonts w:eastAsia="Times New Roman"/>
        </w:rPr>
        <w:t>data</w:t>
      </w:r>
      <w:r>
        <w:rPr>
          <w:rFonts w:eastAsia="Times New Roman"/>
        </w:rPr>
        <w:t xml:space="preserve"> is a barrier for jurisdiction</w:t>
      </w:r>
      <w:r w:rsidR="00375095">
        <w:rPr>
          <w:rFonts w:eastAsia="Times New Roman"/>
        </w:rPr>
        <w:t>s</w:t>
      </w:r>
      <w:r>
        <w:rPr>
          <w:rFonts w:eastAsia="Times New Roman"/>
        </w:rPr>
        <w:t xml:space="preserve"> to effectively assess and evaluate housing </w:t>
      </w:r>
      <w:r w:rsidR="00375095">
        <w:rPr>
          <w:rFonts w:eastAsia="Times New Roman"/>
        </w:rPr>
        <w:t xml:space="preserve">availability and </w:t>
      </w:r>
      <w:r>
        <w:rPr>
          <w:rFonts w:eastAsia="Times New Roman"/>
        </w:rPr>
        <w:t xml:space="preserve">conditions for people with disabilities. </w:t>
      </w:r>
    </w:p>
    <w:p w14:paraId="5E6ACCE9" w14:textId="77777777" w:rsidR="00956DB6" w:rsidRDefault="007B1958" w:rsidP="001E38DF">
      <w:pPr>
        <w:tabs>
          <w:tab w:val="left" w:pos="360"/>
        </w:tabs>
        <w:spacing w:after="240"/>
        <w:ind w:left="1080" w:right="1008"/>
        <w:textAlignment w:val="baseline"/>
        <w:rPr>
          <w:rFonts w:eastAsia="Times New Roman"/>
        </w:rPr>
      </w:pPr>
      <w:r>
        <w:rPr>
          <w:rFonts w:eastAsia="Times New Roman"/>
        </w:rPr>
        <w:t>Data provided in the Portland Housing Bureau’s 2016 State of Housing report</w:t>
      </w:r>
      <w:r w:rsidR="00375095">
        <w:rPr>
          <w:rFonts w:eastAsia="Times New Roman"/>
        </w:rPr>
        <w:t xml:space="preserve"> indicates that there is</w:t>
      </w:r>
      <w:r w:rsidR="001D19CF">
        <w:rPr>
          <w:rFonts w:eastAsia="Times New Roman"/>
        </w:rPr>
        <w:t xml:space="preserve"> a single neighborhood in the City of Portland where a senior household </w:t>
      </w:r>
      <w:r w:rsidR="00C6168C">
        <w:rPr>
          <w:rFonts w:eastAsia="Times New Roman"/>
        </w:rPr>
        <w:t xml:space="preserve">renting a 2-bedroom unit </w:t>
      </w:r>
      <w:r w:rsidR="001D19CF">
        <w:rPr>
          <w:rFonts w:eastAsia="Times New Roman"/>
        </w:rPr>
        <w:t xml:space="preserve">would not be rent burdened. </w:t>
      </w:r>
      <w:r w:rsidR="00C6168C">
        <w:rPr>
          <w:rFonts w:eastAsia="Times New Roman"/>
        </w:rPr>
        <w:t>The Centennial-Glenfair-Wilkes neighborhood is located at the eastern most boundary of Portland and is adjacent to the R/ECAP just outside of the city limits</w:t>
      </w:r>
      <w:r w:rsidR="00375095">
        <w:rPr>
          <w:rFonts w:eastAsia="Times New Roman"/>
        </w:rPr>
        <w:t xml:space="preserve">. </w:t>
      </w:r>
      <w:r w:rsidR="0059619C">
        <w:rPr>
          <w:rFonts w:eastAsia="Times New Roman"/>
        </w:rPr>
        <w:t>On average, there are no neighborhoods in Portland</w:t>
      </w:r>
      <w:r w:rsidR="002E461D">
        <w:rPr>
          <w:rFonts w:eastAsia="Times New Roman"/>
        </w:rPr>
        <w:t xml:space="preserve"> in which a senior household</w:t>
      </w:r>
      <w:r w:rsidR="0059619C">
        <w:rPr>
          <w:rFonts w:eastAsia="Times New Roman"/>
        </w:rPr>
        <w:t xml:space="preserve"> could purchase a home without becoming rent burdened. </w:t>
      </w:r>
    </w:p>
    <w:p w14:paraId="4243FD08" w14:textId="77777777" w:rsidR="00AF051E" w:rsidRDefault="002E461D" w:rsidP="00AF051E">
      <w:pPr>
        <w:tabs>
          <w:tab w:val="left" w:pos="360"/>
        </w:tabs>
        <w:spacing w:after="240"/>
        <w:ind w:left="1080" w:right="1008"/>
        <w:textAlignment w:val="baseline"/>
        <w:rPr>
          <w:rFonts w:eastAsia="Times New Roman"/>
        </w:rPr>
      </w:pPr>
      <w:r>
        <w:rPr>
          <w:rFonts w:eastAsia="Times New Roman"/>
        </w:rPr>
        <w:t xml:space="preserve">The report also notes that the housing policy targets from the 2035 Comprehensive Plan on affordable and accessible housing for seniors and people with disabilities is not being met. </w:t>
      </w:r>
    </w:p>
    <w:p w14:paraId="454EF572" w14:textId="77777777" w:rsidR="002E461D" w:rsidRPr="00AF051E" w:rsidRDefault="00AF051E" w:rsidP="00AF051E">
      <w:pPr>
        <w:pStyle w:val="Pa25"/>
        <w:ind w:left="1080"/>
        <w:rPr>
          <w:rFonts w:cs="FranklinGothicURWBoo"/>
          <w:i/>
          <w:color w:val="211D1E"/>
          <w:sz w:val="20"/>
          <w:szCs w:val="20"/>
        </w:rPr>
      </w:pPr>
      <w:r w:rsidRPr="00AF051E">
        <w:rPr>
          <w:rFonts w:cs="FranklinGothicURWBoo"/>
          <w:color w:val="211D1E"/>
          <w:sz w:val="20"/>
          <w:szCs w:val="20"/>
        </w:rPr>
        <w:lastRenderedPageBreak/>
        <w:t>2035 Comprehensive Plan Target</w:t>
      </w:r>
      <w:r>
        <w:rPr>
          <w:rFonts w:cs="FranklinGothicURWBoo"/>
          <w:i/>
          <w:color w:val="211D1E"/>
          <w:sz w:val="20"/>
          <w:szCs w:val="20"/>
        </w:rPr>
        <w:t xml:space="preserve">: </w:t>
      </w:r>
      <w:r w:rsidR="002E461D" w:rsidRPr="00AF051E">
        <w:rPr>
          <w:rFonts w:cs="FranklinGothicURWBoo"/>
          <w:i/>
          <w:color w:val="211D1E"/>
          <w:sz w:val="20"/>
          <w:szCs w:val="20"/>
        </w:rPr>
        <w:t xml:space="preserve">Allow and support a robust and diverse supply of affordable, accessible housing to meet the needs of older adults and people with disabilities, especially in centers, station areas, and other places that are proximate to services and transit. </w:t>
      </w:r>
    </w:p>
    <w:p w14:paraId="012AF294" w14:textId="77777777" w:rsidR="006C7015" w:rsidRDefault="006C7015" w:rsidP="006C7015">
      <w:pPr>
        <w:tabs>
          <w:tab w:val="left" w:pos="360"/>
        </w:tabs>
        <w:spacing w:after="240"/>
        <w:ind w:right="1008"/>
        <w:textAlignment w:val="baseline"/>
        <w:rPr>
          <w:rFonts w:eastAsia="Times New Roman"/>
        </w:rPr>
      </w:pPr>
    </w:p>
    <w:p w14:paraId="67A8DB46" w14:textId="77777777" w:rsidR="00D55F15" w:rsidRDefault="004541E4" w:rsidP="00D55F15">
      <w:pPr>
        <w:tabs>
          <w:tab w:val="left" w:pos="360"/>
        </w:tabs>
        <w:spacing w:after="240"/>
        <w:ind w:left="1080" w:right="1008"/>
        <w:textAlignment w:val="baseline"/>
        <w:rPr>
          <w:rFonts w:eastAsia="Times New Roman"/>
        </w:rPr>
      </w:pPr>
      <w:r>
        <w:rPr>
          <w:rFonts w:eastAsia="Times New Roman"/>
        </w:rPr>
        <w:t>While p</w:t>
      </w:r>
      <w:r w:rsidR="004A31D6">
        <w:rPr>
          <w:rFonts w:eastAsia="Times New Roman"/>
        </w:rPr>
        <w:t xml:space="preserve">ublicly supported housing </w:t>
      </w:r>
      <w:r>
        <w:rPr>
          <w:rFonts w:eastAsia="Times New Roman"/>
        </w:rPr>
        <w:t xml:space="preserve">in Portland is generally located along main transit corridors at large intersections, there are large concentrations in downtown and North Portland. </w:t>
      </w:r>
      <w:r w:rsidR="006C7015">
        <w:rPr>
          <w:rFonts w:eastAsia="Times New Roman"/>
        </w:rPr>
        <w:t xml:space="preserve">The table below provides information on publicly supported housing types and the number of disabled residents. </w:t>
      </w:r>
    </w:p>
    <w:p w14:paraId="53F0FF85" w14:textId="77777777" w:rsidR="00D55F15" w:rsidRDefault="00D55F15" w:rsidP="00D55F15">
      <w:pPr>
        <w:tabs>
          <w:tab w:val="left" w:pos="360"/>
        </w:tabs>
        <w:spacing w:after="240"/>
        <w:ind w:left="1080" w:right="1008"/>
        <w:textAlignment w:val="baseline"/>
        <w:rPr>
          <w:rFonts w:eastAsia="Times New Roman"/>
        </w:rPr>
      </w:pPr>
      <w:r>
        <w:rPr>
          <w:rFonts w:eastAsia="Times New Roman"/>
        </w:rPr>
        <w:t>Portla</w:t>
      </w:r>
      <w:r w:rsidR="00314F09">
        <w:rPr>
          <w:rFonts w:eastAsia="Times New Roman"/>
        </w:rPr>
        <w:t>nd is taking some policy action</w:t>
      </w:r>
      <w:r>
        <w:rPr>
          <w:rFonts w:eastAsia="Times New Roman"/>
        </w:rPr>
        <w:t xml:space="preserve"> to increase units that persons with a disability may have access to. The Residential Infill Project from the Bureau of Planning and Sustainability is incorporating “visitability” requirements. They are design elements that would allow a disabled person to visit the unit. Elements included are a no step entry, wider hallways and doorways and larger bathrooms on the main floor. </w:t>
      </w:r>
    </w:p>
    <w:tbl>
      <w:tblPr>
        <w:tblW w:w="7100"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1440"/>
        <w:gridCol w:w="1208"/>
      </w:tblGrid>
      <w:tr w:rsidR="006C7015" w:rsidRPr="006C7015" w14:paraId="7431808C" w14:textId="77777777" w:rsidTr="006C7015">
        <w:trPr>
          <w:trHeight w:val="575"/>
        </w:trPr>
        <w:tc>
          <w:tcPr>
            <w:tcW w:w="4452" w:type="dxa"/>
            <w:shd w:val="clear" w:color="000000" w:fill="D9D9D9"/>
            <w:vAlign w:val="bottom"/>
            <w:hideMark/>
          </w:tcPr>
          <w:p w14:paraId="5F87769E" w14:textId="77777777" w:rsidR="006C7015" w:rsidRPr="006C7015" w:rsidRDefault="006C7015" w:rsidP="006C7015">
            <w:pPr>
              <w:rPr>
                <w:rFonts w:eastAsia="Times New Roman"/>
                <w:b/>
                <w:bCs/>
                <w:color w:val="000000"/>
                <w:sz w:val="24"/>
                <w:szCs w:val="24"/>
              </w:rPr>
            </w:pPr>
            <w:r w:rsidRPr="006C7015">
              <w:rPr>
                <w:rFonts w:eastAsia="Times New Roman"/>
                <w:b/>
                <w:bCs/>
                <w:color w:val="000000"/>
                <w:sz w:val="24"/>
                <w:szCs w:val="24"/>
              </w:rPr>
              <w:t>(Portland, OR CDBG, ESG) Jurisdiction</w:t>
            </w:r>
          </w:p>
        </w:tc>
        <w:tc>
          <w:tcPr>
            <w:tcW w:w="2648" w:type="dxa"/>
            <w:gridSpan w:val="2"/>
            <w:shd w:val="clear" w:color="000000" w:fill="D9D9D9"/>
            <w:vAlign w:val="bottom"/>
            <w:hideMark/>
          </w:tcPr>
          <w:p w14:paraId="6ADE7B6A" w14:textId="77777777" w:rsidR="006C7015" w:rsidRPr="006C7015" w:rsidRDefault="006C7015" w:rsidP="006C7015">
            <w:pPr>
              <w:jc w:val="center"/>
              <w:rPr>
                <w:rFonts w:eastAsia="Times New Roman"/>
                <w:b/>
                <w:bCs/>
                <w:color w:val="000000"/>
                <w:sz w:val="24"/>
                <w:szCs w:val="24"/>
              </w:rPr>
            </w:pPr>
            <w:r w:rsidRPr="006C7015">
              <w:rPr>
                <w:rFonts w:eastAsia="Times New Roman"/>
                <w:b/>
                <w:bCs/>
                <w:color w:val="000000"/>
                <w:sz w:val="24"/>
                <w:szCs w:val="24"/>
              </w:rPr>
              <w:t>People with a Disability</w:t>
            </w:r>
          </w:p>
        </w:tc>
      </w:tr>
      <w:tr w:rsidR="006C7015" w:rsidRPr="006C7015" w14:paraId="172AE115" w14:textId="77777777" w:rsidTr="006C7015">
        <w:trPr>
          <w:trHeight w:val="323"/>
        </w:trPr>
        <w:tc>
          <w:tcPr>
            <w:tcW w:w="4452" w:type="dxa"/>
            <w:shd w:val="clear" w:color="000000" w:fill="DCE6F1"/>
            <w:noWrap/>
            <w:vAlign w:val="bottom"/>
            <w:hideMark/>
          </w:tcPr>
          <w:p w14:paraId="2A1D828E" w14:textId="77777777" w:rsidR="006C7015" w:rsidRPr="006C7015" w:rsidRDefault="006C7015" w:rsidP="006C7015">
            <w:pPr>
              <w:rPr>
                <w:rFonts w:eastAsia="Times New Roman"/>
                <w:b/>
                <w:bCs/>
                <w:color w:val="000000"/>
                <w:sz w:val="24"/>
                <w:szCs w:val="24"/>
              </w:rPr>
            </w:pPr>
            <w:r w:rsidRPr="006C7015">
              <w:rPr>
                <w:rFonts w:eastAsia="Times New Roman"/>
                <w:b/>
                <w:bCs/>
                <w:color w:val="000000"/>
                <w:sz w:val="24"/>
                <w:szCs w:val="24"/>
              </w:rPr>
              <w:t> </w:t>
            </w:r>
          </w:p>
        </w:tc>
        <w:tc>
          <w:tcPr>
            <w:tcW w:w="1440" w:type="dxa"/>
            <w:shd w:val="clear" w:color="000000" w:fill="DCE6F1"/>
            <w:noWrap/>
            <w:vAlign w:val="bottom"/>
            <w:hideMark/>
          </w:tcPr>
          <w:p w14:paraId="492659A0" w14:textId="77777777" w:rsidR="006C7015" w:rsidRPr="006C7015" w:rsidRDefault="006C7015" w:rsidP="006C7015">
            <w:pPr>
              <w:jc w:val="center"/>
              <w:rPr>
                <w:rFonts w:eastAsia="Times New Roman"/>
                <w:b/>
                <w:bCs/>
                <w:color w:val="000000"/>
                <w:sz w:val="24"/>
                <w:szCs w:val="24"/>
              </w:rPr>
            </w:pPr>
            <w:r w:rsidRPr="006C7015">
              <w:rPr>
                <w:rFonts w:eastAsia="Times New Roman"/>
                <w:b/>
                <w:bCs/>
                <w:color w:val="000000"/>
                <w:sz w:val="24"/>
                <w:szCs w:val="24"/>
              </w:rPr>
              <w:t>#</w:t>
            </w:r>
          </w:p>
        </w:tc>
        <w:tc>
          <w:tcPr>
            <w:tcW w:w="1208" w:type="dxa"/>
            <w:shd w:val="clear" w:color="000000" w:fill="DCE6F1"/>
            <w:noWrap/>
            <w:vAlign w:val="bottom"/>
            <w:hideMark/>
          </w:tcPr>
          <w:p w14:paraId="5F49395F" w14:textId="77777777" w:rsidR="006C7015" w:rsidRPr="006C7015" w:rsidRDefault="006C7015" w:rsidP="006C7015">
            <w:pPr>
              <w:jc w:val="center"/>
              <w:rPr>
                <w:rFonts w:eastAsia="Times New Roman"/>
                <w:b/>
                <w:bCs/>
                <w:color w:val="000000"/>
                <w:sz w:val="24"/>
                <w:szCs w:val="24"/>
              </w:rPr>
            </w:pPr>
            <w:r w:rsidRPr="006C7015">
              <w:rPr>
                <w:rFonts w:eastAsia="Times New Roman"/>
                <w:b/>
                <w:bCs/>
                <w:color w:val="000000"/>
                <w:sz w:val="24"/>
                <w:szCs w:val="24"/>
              </w:rPr>
              <w:t>%</w:t>
            </w:r>
          </w:p>
        </w:tc>
      </w:tr>
      <w:tr w:rsidR="006C7015" w:rsidRPr="006C7015" w14:paraId="4C89822F" w14:textId="77777777" w:rsidTr="006C7015">
        <w:trPr>
          <w:trHeight w:val="341"/>
        </w:trPr>
        <w:tc>
          <w:tcPr>
            <w:tcW w:w="4452" w:type="dxa"/>
            <w:shd w:val="clear" w:color="auto" w:fill="auto"/>
            <w:noWrap/>
            <w:vAlign w:val="bottom"/>
            <w:hideMark/>
          </w:tcPr>
          <w:p w14:paraId="6309A7DC" w14:textId="77777777" w:rsidR="006C7015" w:rsidRPr="006C7015" w:rsidRDefault="006C7015" w:rsidP="006C7015">
            <w:pPr>
              <w:rPr>
                <w:rFonts w:eastAsia="Times New Roman"/>
                <w:color w:val="000000"/>
                <w:sz w:val="24"/>
                <w:szCs w:val="24"/>
              </w:rPr>
            </w:pPr>
            <w:r w:rsidRPr="006C7015">
              <w:rPr>
                <w:rFonts w:eastAsia="Times New Roman"/>
                <w:color w:val="000000"/>
                <w:sz w:val="24"/>
                <w:szCs w:val="24"/>
              </w:rPr>
              <w:t>Public Housing</w:t>
            </w:r>
          </w:p>
        </w:tc>
        <w:tc>
          <w:tcPr>
            <w:tcW w:w="1440" w:type="dxa"/>
            <w:shd w:val="clear" w:color="auto" w:fill="auto"/>
            <w:noWrap/>
            <w:vAlign w:val="bottom"/>
            <w:hideMark/>
          </w:tcPr>
          <w:p w14:paraId="04799CD6"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803</w:t>
            </w:r>
          </w:p>
        </w:tc>
        <w:tc>
          <w:tcPr>
            <w:tcW w:w="1208" w:type="dxa"/>
            <w:shd w:val="clear" w:color="auto" w:fill="auto"/>
            <w:noWrap/>
            <w:vAlign w:val="bottom"/>
            <w:hideMark/>
          </w:tcPr>
          <w:p w14:paraId="48825F29"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43.67%</w:t>
            </w:r>
          </w:p>
        </w:tc>
      </w:tr>
      <w:tr w:rsidR="006C7015" w:rsidRPr="006C7015" w14:paraId="4D0EE98C" w14:textId="77777777" w:rsidTr="006C7015">
        <w:trPr>
          <w:trHeight w:val="359"/>
        </w:trPr>
        <w:tc>
          <w:tcPr>
            <w:tcW w:w="4452" w:type="dxa"/>
            <w:shd w:val="clear" w:color="auto" w:fill="auto"/>
            <w:noWrap/>
            <w:vAlign w:val="bottom"/>
            <w:hideMark/>
          </w:tcPr>
          <w:p w14:paraId="52541A31" w14:textId="77777777" w:rsidR="006C7015" w:rsidRPr="006C7015" w:rsidRDefault="006C7015" w:rsidP="006C7015">
            <w:pPr>
              <w:rPr>
                <w:rFonts w:eastAsia="Times New Roman"/>
                <w:color w:val="000000"/>
                <w:sz w:val="24"/>
                <w:szCs w:val="24"/>
              </w:rPr>
            </w:pPr>
            <w:r w:rsidRPr="006C7015">
              <w:rPr>
                <w:rFonts w:eastAsia="Times New Roman"/>
                <w:color w:val="000000"/>
                <w:sz w:val="24"/>
                <w:szCs w:val="24"/>
              </w:rPr>
              <w:t>Project-Based Section 8</w:t>
            </w:r>
          </w:p>
        </w:tc>
        <w:tc>
          <w:tcPr>
            <w:tcW w:w="1440" w:type="dxa"/>
            <w:shd w:val="clear" w:color="auto" w:fill="auto"/>
            <w:noWrap/>
            <w:vAlign w:val="bottom"/>
            <w:hideMark/>
          </w:tcPr>
          <w:p w14:paraId="7F7DB0D3"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1,038</w:t>
            </w:r>
          </w:p>
        </w:tc>
        <w:tc>
          <w:tcPr>
            <w:tcW w:w="1208" w:type="dxa"/>
            <w:shd w:val="clear" w:color="auto" w:fill="auto"/>
            <w:noWrap/>
            <w:vAlign w:val="bottom"/>
            <w:hideMark/>
          </w:tcPr>
          <w:p w14:paraId="13F5857E"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32.85%</w:t>
            </w:r>
          </w:p>
        </w:tc>
      </w:tr>
      <w:tr w:rsidR="006C7015" w:rsidRPr="006C7015" w14:paraId="13C70D30" w14:textId="77777777" w:rsidTr="006C7015">
        <w:trPr>
          <w:trHeight w:val="368"/>
        </w:trPr>
        <w:tc>
          <w:tcPr>
            <w:tcW w:w="4452" w:type="dxa"/>
            <w:shd w:val="clear" w:color="auto" w:fill="auto"/>
            <w:noWrap/>
            <w:vAlign w:val="bottom"/>
            <w:hideMark/>
          </w:tcPr>
          <w:p w14:paraId="5022713B" w14:textId="77777777" w:rsidR="006C7015" w:rsidRPr="006C7015" w:rsidRDefault="006C7015" w:rsidP="006C7015">
            <w:pPr>
              <w:rPr>
                <w:rFonts w:eastAsia="Times New Roman"/>
                <w:color w:val="000000"/>
                <w:sz w:val="24"/>
                <w:szCs w:val="24"/>
              </w:rPr>
            </w:pPr>
            <w:r w:rsidRPr="006C7015">
              <w:rPr>
                <w:rFonts w:eastAsia="Times New Roman"/>
                <w:color w:val="000000"/>
                <w:sz w:val="24"/>
                <w:szCs w:val="24"/>
              </w:rPr>
              <w:t>Other Multifamily</w:t>
            </w:r>
          </w:p>
        </w:tc>
        <w:tc>
          <w:tcPr>
            <w:tcW w:w="1440" w:type="dxa"/>
            <w:shd w:val="clear" w:color="auto" w:fill="auto"/>
            <w:noWrap/>
            <w:vAlign w:val="bottom"/>
            <w:hideMark/>
          </w:tcPr>
          <w:p w14:paraId="545EC850"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173</w:t>
            </w:r>
          </w:p>
        </w:tc>
        <w:tc>
          <w:tcPr>
            <w:tcW w:w="1208" w:type="dxa"/>
            <w:shd w:val="clear" w:color="auto" w:fill="auto"/>
            <w:noWrap/>
            <w:vAlign w:val="bottom"/>
            <w:hideMark/>
          </w:tcPr>
          <w:p w14:paraId="533783C5"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30.03%</w:t>
            </w:r>
          </w:p>
        </w:tc>
      </w:tr>
      <w:tr w:rsidR="006C7015" w:rsidRPr="006C7015" w14:paraId="72E711C7" w14:textId="77777777" w:rsidTr="006C7015">
        <w:trPr>
          <w:trHeight w:val="377"/>
        </w:trPr>
        <w:tc>
          <w:tcPr>
            <w:tcW w:w="4452" w:type="dxa"/>
            <w:shd w:val="clear" w:color="auto" w:fill="auto"/>
            <w:noWrap/>
            <w:vAlign w:val="bottom"/>
            <w:hideMark/>
          </w:tcPr>
          <w:p w14:paraId="56519E23" w14:textId="77777777" w:rsidR="006C7015" w:rsidRPr="006C7015" w:rsidRDefault="006C7015" w:rsidP="006C7015">
            <w:pPr>
              <w:rPr>
                <w:rFonts w:eastAsia="Times New Roman"/>
                <w:color w:val="000000"/>
                <w:sz w:val="24"/>
                <w:szCs w:val="24"/>
              </w:rPr>
            </w:pPr>
            <w:r w:rsidRPr="006C7015">
              <w:rPr>
                <w:rFonts w:eastAsia="Times New Roman"/>
                <w:color w:val="000000"/>
                <w:sz w:val="24"/>
                <w:szCs w:val="24"/>
              </w:rPr>
              <w:t>HCV Program</w:t>
            </w:r>
          </w:p>
        </w:tc>
        <w:tc>
          <w:tcPr>
            <w:tcW w:w="1440" w:type="dxa"/>
            <w:shd w:val="clear" w:color="auto" w:fill="auto"/>
            <w:noWrap/>
            <w:vAlign w:val="bottom"/>
            <w:hideMark/>
          </w:tcPr>
          <w:p w14:paraId="142C8B4B"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2,624</w:t>
            </w:r>
          </w:p>
        </w:tc>
        <w:tc>
          <w:tcPr>
            <w:tcW w:w="1208" w:type="dxa"/>
            <w:shd w:val="clear" w:color="auto" w:fill="auto"/>
            <w:noWrap/>
            <w:vAlign w:val="bottom"/>
            <w:hideMark/>
          </w:tcPr>
          <w:p w14:paraId="0BE88947" w14:textId="77777777" w:rsidR="006C7015" w:rsidRPr="006C7015" w:rsidRDefault="006C7015" w:rsidP="006C7015">
            <w:pPr>
              <w:jc w:val="center"/>
              <w:rPr>
                <w:rFonts w:eastAsia="Times New Roman"/>
                <w:color w:val="000000"/>
                <w:sz w:val="24"/>
                <w:szCs w:val="24"/>
              </w:rPr>
            </w:pPr>
            <w:r w:rsidRPr="006C7015">
              <w:rPr>
                <w:rFonts w:eastAsia="Times New Roman"/>
                <w:color w:val="000000"/>
                <w:sz w:val="24"/>
                <w:szCs w:val="24"/>
              </w:rPr>
              <w:t>35.73%</w:t>
            </w:r>
          </w:p>
        </w:tc>
      </w:tr>
    </w:tbl>
    <w:p w14:paraId="25A1E6D9" w14:textId="77777777" w:rsidR="00D55F15" w:rsidRDefault="00D55F15" w:rsidP="00362CAA">
      <w:pPr>
        <w:tabs>
          <w:tab w:val="left" w:pos="360"/>
        </w:tabs>
        <w:spacing w:after="240"/>
        <w:ind w:right="1008"/>
        <w:textAlignment w:val="baseline"/>
        <w:rPr>
          <w:rFonts w:eastAsia="Times New Roman"/>
        </w:rPr>
      </w:pPr>
    </w:p>
    <w:p w14:paraId="4F21C782" w14:textId="77777777" w:rsidR="000B7BDE" w:rsidRPr="004971C1" w:rsidRDefault="000B7BDE" w:rsidP="000B7BDE">
      <w:pPr>
        <w:pStyle w:val="ColorfulList-Accent11"/>
        <w:numPr>
          <w:ilvl w:val="0"/>
          <w:numId w:val="7"/>
        </w:numPr>
        <w:spacing w:after="240"/>
        <w:ind w:left="720"/>
        <w:textAlignment w:val="baseline"/>
        <w:rPr>
          <w:rFonts w:eastAsia="Times New Roman"/>
          <w:b/>
        </w:rPr>
      </w:pPr>
      <w:r w:rsidRPr="004971C1">
        <w:rPr>
          <w:rFonts w:eastAsia="Times New Roman"/>
          <w:b/>
        </w:rPr>
        <w:t>Integration of Persons with Disabilities Living in Institutions and Other Segregated Settings</w:t>
      </w:r>
    </w:p>
    <w:p w14:paraId="5DEF944D" w14:textId="77777777" w:rsidR="000B7BDE" w:rsidRPr="004971C1" w:rsidRDefault="000B7BDE" w:rsidP="000B7BDE">
      <w:pPr>
        <w:numPr>
          <w:ilvl w:val="0"/>
          <w:numId w:val="4"/>
        </w:numPr>
        <w:tabs>
          <w:tab w:val="clear" w:pos="648"/>
        </w:tabs>
        <w:spacing w:after="240"/>
        <w:ind w:left="1080" w:right="1152" w:hanging="360"/>
        <w:textAlignment w:val="baseline"/>
        <w:rPr>
          <w:rFonts w:eastAsia="Times New Roman"/>
          <w:spacing w:val="-1"/>
        </w:rPr>
      </w:pPr>
      <w:r w:rsidRPr="004971C1">
        <w:rPr>
          <w:rFonts w:eastAsia="Times New Roman"/>
          <w:spacing w:val="-1"/>
        </w:rPr>
        <w:t>To what extent do persons with disabilities in or from the jurisdiction or region reside in segregated or integrated settings?</w:t>
      </w:r>
    </w:p>
    <w:p w14:paraId="4B193227" w14:textId="77777777" w:rsidR="000B7BDE" w:rsidRPr="004971C1" w:rsidRDefault="000B7BDE" w:rsidP="000B7BDE">
      <w:pPr>
        <w:numPr>
          <w:ilvl w:val="0"/>
          <w:numId w:val="4"/>
        </w:numPr>
        <w:tabs>
          <w:tab w:val="clear" w:pos="648"/>
        </w:tabs>
        <w:spacing w:after="240"/>
        <w:ind w:left="1080" w:right="1152" w:hanging="360"/>
        <w:textAlignment w:val="baseline"/>
        <w:rPr>
          <w:rFonts w:eastAsia="Times New Roman"/>
          <w:spacing w:val="-1"/>
        </w:rPr>
      </w:pPr>
      <w:r w:rsidRPr="004971C1">
        <w:rPr>
          <w:rFonts w:eastAsia="Times New Roman"/>
          <w:spacing w:val="-1"/>
        </w:rPr>
        <w:t>Describe the range of options for persons with disabilities to access affordable housing and supportive services</w:t>
      </w:r>
      <w:r>
        <w:rPr>
          <w:rFonts w:eastAsia="Times New Roman"/>
          <w:spacing w:val="-1"/>
        </w:rPr>
        <w:t xml:space="preserve"> in the jurisdiction and region</w:t>
      </w:r>
      <w:r w:rsidRPr="004971C1">
        <w:rPr>
          <w:rFonts w:eastAsia="Times New Roman"/>
          <w:spacing w:val="-1"/>
        </w:rPr>
        <w:t>.</w:t>
      </w:r>
    </w:p>
    <w:p w14:paraId="20A5D664" w14:textId="77777777" w:rsidR="000B7BDE" w:rsidRPr="004971C1" w:rsidRDefault="000B7BDE" w:rsidP="000B7BDE">
      <w:pPr>
        <w:pStyle w:val="ColorfulList-Accent11"/>
        <w:numPr>
          <w:ilvl w:val="0"/>
          <w:numId w:val="7"/>
        </w:numPr>
        <w:spacing w:after="240"/>
        <w:ind w:left="720"/>
        <w:textAlignment w:val="baseline"/>
        <w:rPr>
          <w:rFonts w:eastAsia="Times New Roman"/>
          <w:b/>
          <w:spacing w:val="2"/>
        </w:rPr>
      </w:pPr>
      <w:r w:rsidRPr="004971C1">
        <w:rPr>
          <w:rFonts w:eastAsia="Times New Roman"/>
          <w:b/>
          <w:spacing w:val="2"/>
        </w:rPr>
        <w:t>Disparities in Access to Opportunity</w:t>
      </w:r>
    </w:p>
    <w:p w14:paraId="745FFBE9" w14:textId="7E4D23E9" w:rsidR="00090BB0" w:rsidRPr="00FB27D6" w:rsidRDefault="00090BB0" w:rsidP="00E72335">
      <w:pPr>
        <w:pStyle w:val="ListParagraph"/>
        <w:tabs>
          <w:tab w:val="left" w:pos="360"/>
        </w:tabs>
        <w:spacing w:after="240"/>
        <w:ind w:left="1080"/>
        <w:textAlignment w:val="baseline"/>
        <w:rPr>
          <w:rFonts w:eastAsia="Times New Roman"/>
        </w:rPr>
      </w:pPr>
      <w:r w:rsidRPr="00090BB0">
        <w:rPr>
          <w:rFonts w:eastAsia="Times New Roman"/>
        </w:rPr>
        <w:t>In Portland, persons with disabilities may request a reasonable accommodation when applying for City of Portland jobs or attending a public meeting. Phone numbers and email addresses of a specific staff person are provided to request an accommodation. There is generally a request by staff that individuals that do need an accommodation contact the appropriate person several days in advance to allow time to make the necessary adjustments</w:t>
      </w:r>
      <w:r w:rsidR="00E7091E">
        <w:rPr>
          <w:rFonts w:eastAsia="Times New Roman"/>
        </w:rPr>
        <w:t>.</w:t>
      </w:r>
    </w:p>
    <w:p w14:paraId="54817E83" w14:textId="7FC80900" w:rsidR="00090BB0" w:rsidRPr="00A834B7" w:rsidRDefault="00A204A6" w:rsidP="00A834B7">
      <w:pPr>
        <w:pStyle w:val="NormalWeb"/>
        <w:shd w:val="clear" w:color="auto" w:fill="FFFFFF"/>
        <w:spacing w:before="0" w:beforeAutospacing="0" w:after="240" w:afterAutospacing="0"/>
        <w:ind w:left="1080"/>
        <w:textAlignment w:val="baseline"/>
        <w:rPr>
          <w:sz w:val="22"/>
          <w:szCs w:val="22"/>
        </w:rPr>
      </w:pPr>
      <w:r>
        <w:rPr>
          <w:sz w:val="22"/>
          <w:szCs w:val="22"/>
        </w:rPr>
        <w:t xml:space="preserve">Central and inner Portland neighborhoods tend to have more complete sidewalks, adequate curb cuts and signaled or stripped crossings. </w:t>
      </w:r>
      <w:r w:rsidR="00FB27D6">
        <w:rPr>
          <w:sz w:val="22"/>
          <w:szCs w:val="22"/>
        </w:rPr>
        <w:t xml:space="preserve">Portland has challenges with incomplete sidewalks especially in the south west and outer east sides. The Portland Bureau of Transportation (PBoT) is working through a 5-year project that will build over 7 miles of sidewalk infill in Southwest and East Portland. </w:t>
      </w:r>
      <w:r w:rsidR="00025BC4">
        <w:rPr>
          <w:sz w:val="22"/>
          <w:szCs w:val="22"/>
        </w:rPr>
        <w:t xml:space="preserve">This project has helped add or replace curb cuts and build new sidewalks. That said, there are still neighborhoods </w:t>
      </w:r>
      <w:r>
        <w:rPr>
          <w:sz w:val="22"/>
          <w:szCs w:val="22"/>
        </w:rPr>
        <w:t xml:space="preserve">in Southwest and Eastern Portland that </w:t>
      </w:r>
      <w:r w:rsidR="00025BC4">
        <w:rPr>
          <w:sz w:val="22"/>
          <w:szCs w:val="22"/>
        </w:rPr>
        <w:t xml:space="preserve">have no sidewalks on either side of the street or only partial sections of </w:t>
      </w:r>
      <w:r w:rsidR="00025BC4">
        <w:rPr>
          <w:sz w:val="22"/>
          <w:szCs w:val="22"/>
        </w:rPr>
        <w:lastRenderedPageBreak/>
        <w:t>sidewalk that are interrupted by unpaved sections. Unpaved sections could contain a dirt “goat path” making them somewhat passable or they could be taken up with landscaping thereby shutting off access altogether</w:t>
      </w:r>
      <w:r>
        <w:rPr>
          <w:sz w:val="22"/>
          <w:szCs w:val="22"/>
        </w:rPr>
        <w:t xml:space="preserve"> to pedestrians of any ability</w:t>
      </w:r>
      <w:r w:rsidR="00025BC4">
        <w:rPr>
          <w:sz w:val="22"/>
          <w:szCs w:val="22"/>
        </w:rPr>
        <w:t>.</w:t>
      </w:r>
      <w:r>
        <w:rPr>
          <w:sz w:val="22"/>
          <w:szCs w:val="22"/>
        </w:rPr>
        <w:t xml:space="preserve"> Additionally, signaled crossing tends to occur at major intersections in southwest and eastern neighborhoods. This is helpful as many of these streets allow transit riders to transfer between lines. However, these parts of Portland are built with longer blocks between major intersections and multiple lanes of traffic making it dangerous for an able-bodied person to cross and impossible for a person</w:t>
      </w:r>
      <w:r w:rsidR="00A834B7">
        <w:rPr>
          <w:sz w:val="22"/>
          <w:szCs w:val="22"/>
        </w:rPr>
        <w:t xml:space="preserve"> with a disability to navigate.</w:t>
      </w:r>
    </w:p>
    <w:p w14:paraId="15DAF524" w14:textId="45A5396D" w:rsidR="00A834B7" w:rsidRDefault="00A834B7" w:rsidP="008B5579">
      <w:pPr>
        <w:tabs>
          <w:tab w:val="left" w:pos="360"/>
        </w:tabs>
        <w:spacing w:after="240"/>
        <w:ind w:left="1080"/>
        <w:textAlignment w:val="baseline"/>
        <w:rPr>
          <w:rFonts w:eastAsia="Times New Roman"/>
        </w:rPr>
      </w:pPr>
      <w:r>
        <w:rPr>
          <w:rFonts w:eastAsia="Times New Roman"/>
        </w:rPr>
        <w:t xml:space="preserve">People with disabilities can access all modes of public transit including buses, trains and street cars. They also have the option of using the LIFT program offered by the regional transit authority TRIMET. </w:t>
      </w:r>
      <w:r w:rsidR="009E53CA">
        <w:rPr>
          <w:rFonts w:eastAsia="Times New Roman"/>
        </w:rPr>
        <w:t xml:space="preserve">LIFT provides approximately 1 million trips annual to individuals with disabilities. City negotiations with ride sharing companies such as Uber require an option for people with a disability. This option is contracted out and does not match the response time that other cars offer. Where non-disabled passengers may have a car in 5 or 10 minutes, it may take 30 minutes for a ride share for a disabled passenger. </w:t>
      </w:r>
    </w:p>
    <w:p w14:paraId="74BCD8DB" w14:textId="77777777" w:rsidR="000B7BDE" w:rsidRDefault="000B7BDE" w:rsidP="000B7BDE">
      <w:pPr>
        <w:numPr>
          <w:ilvl w:val="0"/>
          <w:numId w:val="5"/>
        </w:numPr>
        <w:tabs>
          <w:tab w:val="clear" w:pos="360"/>
        </w:tabs>
        <w:spacing w:after="240"/>
        <w:ind w:left="1440" w:hanging="360"/>
        <w:textAlignment w:val="baseline"/>
        <w:rPr>
          <w:rFonts w:eastAsia="Times New Roman"/>
        </w:rPr>
      </w:pPr>
      <w:r w:rsidRPr="00880BAD">
        <w:rPr>
          <w:rFonts w:eastAsia="Times New Roman"/>
        </w:rPr>
        <w:t>Proficient schools and educational programs</w:t>
      </w:r>
    </w:p>
    <w:p w14:paraId="0BD82E57" w14:textId="77777777" w:rsidR="000B7BDE" w:rsidRPr="00880BAD" w:rsidRDefault="000B7BDE" w:rsidP="000B7BDE">
      <w:pPr>
        <w:numPr>
          <w:ilvl w:val="0"/>
          <w:numId w:val="5"/>
        </w:numPr>
        <w:tabs>
          <w:tab w:val="clear" w:pos="360"/>
        </w:tabs>
        <w:spacing w:after="240"/>
        <w:ind w:left="1440" w:hanging="360"/>
        <w:textAlignment w:val="baseline"/>
        <w:rPr>
          <w:rFonts w:eastAsia="Times New Roman"/>
        </w:rPr>
      </w:pPr>
      <w:r w:rsidRPr="00880BAD">
        <w:rPr>
          <w:rFonts w:eastAsia="Times New Roman"/>
        </w:rPr>
        <w:t>Jobs</w:t>
      </w:r>
    </w:p>
    <w:p w14:paraId="5C06D126" w14:textId="21FD24A7" w:rsidR="00422626" w:rsidRPr="00C820F1" w:rsidRDefault="000B7BDE" w:rsidP="00C820F1">
      <w:pPr>
        <w:pStyle w:val="ColorfulList-Accent11"/>
        <w:numPr>
          <w:ilvl w:val="0"/>
          <w:numId w:val="8"/>
        </w:numPr>
        <w:spacing w:after="240"/>
        <w:ind w:left="1080"/>
        <w:textAlignment w:val="baseline"/>
        <w:rPr>
          <w:rFonts w:eastAsia="Times New Roman"/>
        </w:rPr>
      </w:pPr>
      <w:commentRangeStart w:id="0"/>
      <w:r w:rsidRPr="004971C1">
        <w:rPr>
          <w:rFonts w:eastAsia="Times New Roman"/>
        </w:rPr>
        <w:t>Describe the processes that exist in the jurisdiction and region for persons with disabilities to request and obtain reasonable accommodations and accessibility modifications to address the barriers discussed above.</w:t>
      </w:r>
      <w:commentRangeEnd w:id="0"/>
      <w:r w:rsidR="00CC7055">
        <w:rPr>
          <w:rStyle w:val="CommentReference"/>
        </w:rPr>
        <w:commentReference w:id="0"/>
      </w:r>
    </w:p>
    <w:p w14:paraId="0C92908D" w14:textId="7EBE9405" w:rsidR="00422626" w:rsidRPr="004971C1" w:rsidRDefault="00422626" w:rsidP="000B7BDE">
      <w:pPr>
        <w:pStyle w:val="ColorfulList-Accent11"/>
        <w:spacing w:after="240"/>
        <w:ind w:left="1080"/>
        <w:textAlignment w:val="baseline"/>
        <w:rPr>
          <w:rFonts w:eastAsia="Times New Roman"/>
        </w:rPr>
      </w:pPr>
    </w:p>
    <w:p w14:paraId="3CCE631F" w14:textId="0CD0623E" w:rsidR="000B7BDE" w:rsidRPr="004971C1" w:rsidRDefault="000B7BDE" w:rsidP="000B7BDE">
      <w:pPr>
        <w:pStyle w:val="ColorfulList-Accent11"/>
        <w:numPr>
          <w:ilvl w:val="0"/>
          <w:numId w:val="8"/>
        </w:numPr>
        <w:spacing w:after="240"/>
        <w:ind w:left="1080"/>
        <w:textAlignment w:val="baseline"/>
        <w:rPr>
          <w:rFonts w:eastAsia="Times New Roman"/>
        </w:rPr>
      </w:pPr>
      <w:r w:rsidRPr="004971C1">
        <w:t>Describe any difficulties in achieving homeownership experienced by persons with disabilities and by persons with different types of disabilities</w:t>
      </w:r>
      <w:r>
        <w:t xml:space="preserve"> in the jurisdiction and region</w:t>
      </w:r>
      <w:r w:rsidRPr="004971C1">
        <w:t>.</w:t>
      </w:r>
    </w:p>
    <w:p w14:paraId="54BD8203" w14:textId="77777777" w:rsidR="000B7BDE" w:rsidRPr="004971C1" w:rsidRDefault="000B7BDE" w:rsidP="000B7BDE">
      <w:pPr>
        <w:pStyle w:val="ColorfulList-Accent11"/>
        <w:tabs>
          <w:tab w:val="left" w:pos="864"/>
        </w:tabs>
        <w:spacing w:after="240"/>
        <w:ind w:left="900"/>
        <w:textAlignment w:val="baseline"/>
        <w:rPr>
          <w:rFonts w:eastAsia="Times New Roman"/>
        </w:rPr>
      </w:pPr>
    </w:p>
    <w:p w14:paraId="0531A08F" w14:textId="008724F2" w:rsidR="000B7BDE" w:rsidRPr="004971C1" w:rsidRDefault="000B7BDE" w:rsidP="000B7BDE">
      <w:pPr>
        <w:pStyle w:val="ColorfulList-Accent11"/>
        <w:numPr>
          <w:ilvl w:val="0"/>
          <w:numId w:val="7"/>
        </w:numPr>
        <w:spacing w:after="240"/>
        <w:ind w:left="720"/>
        <w:textAlignment w:val="baseline"/>
        <w:rPr>
          <w:rFonts w:eastAsia="Times New Roman"/>
          <w:b/>
        </w:rPr>
      </w:pPr>
      <w:r w:rsidRPr="004971C1">
        <w:rPr>
          <w:rFonts w:eastAsia="Times New Roman"/>
          <w:b/>
        </w:rPr>
        <w:t>Disproportionate Housing Needs</w:t>
      </w:r>
    </w:p>
    <w:p w14:paraId="0B2DECBC" w14:textId="185E528D" w:rsidR="00D23FE7" w:rsidRDefault="00D23FE7" w:rsidP="00E7091E">
      <w:pPr>
        <w:pStyle w:val="ColorfulList-Accent11"/>
        <w:spacing w:after="240"/>
        <w:ind w:left="0"/>
        <w:textAlignment w:val="baseline"/>
        <w:rPr>
          <w:rFonts w:eastAsia="Times New Roman"/>
        </w:rPr>
      </w:pPr>
    </w:p>
    <w:p w14:paraId="4B371A4F" w14:textId="539030FD" w:rsidR="00D23FE7" w:rsidRDefault="00D23FE7" w:rsidP="00D23FE7">
      <w:pPr>
        <w:pStyle w:val="ColorfulList-Accent11"/>
        <w:spacing w:after="240"/>
        <w:ind w:left="1080"/>
        <w:textAlignment w:val="baseline"/>
        <w:rPr>
          <w:rFonts w:eastAsia="Times New Roman"/>
        </w:rPr>
      </w:pPr>
      <w:r>
        <w:rPr>
          <w:rFonts w:eastAsia="Times New Roman"/>
        </w:rPr>
        <w:t>We are unable to answer this question at this time. Because there are significant gaps in data at all levels of go</w:t>
      </w:r>
      <w:r w:rsidR="00E6506A">
        <w:rPr>
          <w:rFonts w:eastAsia="Times New Roman"/>
        </w:rPr>
        <w:t xml:space="preserve">vernment, it is not clear what the disproportionate housing needs are for individuals with a disability. </w:t>
      </w:r>
    </w:p>
    <w:p w14:paraId="67ABF398" w14:textId="77777777" w:rsidR="000B7BDE" w:rsidRPr="004971C1" w:rsidRDefault="000B7BDE" w:rsidP="000B7BDE">
      <w:pPr>
        <w:pStyle w:val="ColorfulList-Accent11"/>
        <w:tabs>
          <w:tab w:val="left" w:pos="864"/>
        </w:tabs>
        <w:spacing w:after="240"/>
        <w:ind w:left="0"/>
        <w:textAlignment w:val="baseline"/>
        <w:rPr>
          <w:rFonts w:eastAsia="Times New Roman"/>
        </w:rPr>
      </w:pPr>
    </w:p>
    <w:p w14:paraId="4AACF133" w14:textId="77777777" w:rsidR="000B7BDE" w:rsidRPr="004971C1" w:rsidRDefault="000B7BDE" w:rsidP="000B7BDE">
      <w:pPr>
        <w:pStyle w:val="ColorfulList-Accent11"/>
        <w:numPr>
          <w:ilvl w:val="0"/>
          <w:numId w:val="7"/>
        </w:numPr>
        <w:spacing w:after="240"/>
        <w:ind w:left="720"/>
        <w:textAlignment w:val="baseline"/>
        <w:rPr>
          <w:rFonts w:eastAsia="Times New Roman"/>
        </w:rPr>
      </w:pPr>
      <w:r w:rsidRPr="004971C1">
        <w:rPr>
          <w:rFonts w:eastAsia="Times New Roman"/>
          <w:b/>
        </w:rPr>
        <w:t>Additional Information</w:t>
      </w:r>
    </w:p>
    <w:p w14:paraId="67AE0957" w14:textId="77777777" w:rsidR="000B7BDE" w:rsidRPr="004971C1" w:rsidRDefault="000B7BDE" w:rsidP="000B7BDE">
      <w:pPr>
        <w:pStyle w:val="ColorfulList-Accent11"/>
        <w:spacing w:after="240"/>
        <w:ind w:left="1080"/>
        <w:textAlignment w:val="baseline"/>
        <w:rPr>
          <w:rFonts w:eastAsia="Times New Roman"/>
        </w:rPr>
      </w:pPr>
    </w:p>
    <w:p w14:paraId="1AA94A51" w14:textId="77777777" w:rsidR="000B7BDE" w:rsidRPr="004971C1" w:rsidRDefault="000B7BDE" w:rsidP="000B7BDE">
      <w:pPr>
        <w:pStyle w:val="ColorfulList-Accent11"/>
        <w:numPr>
          <w:ilvl w:val="0"/>
          <w:numId w:val="9"/>
        </w:numPr>
        <w:spacing w:after="240"/>
        <w:ind w:left="1080"/>
        <w:textAlignment w:val="baseline"/>
        <w:rPr>
          <w:rFonts w:eastAsia="Times New Roman"/>
        </w:rPr>
      </w:pPr>
      <w:r w:rsidRPr="004971C1">
        <w:rPr>
          <w:rFonts w:eastAsia="Times New Roman"/>
        </w:rPr>
        <w:t xml:space="preserve">Beyond the HUD-provided data, provide additional relevant information, if any, about disability and access issues in the jurisdiction and region </w:t>
      </w:r>
      <w:r>
        <w:rPr>
          <w:rFonts w:eastAsia="Times New Roman"/>
        </w:rPr>
        <w:t>including those</w:t>
      </w:r>
      <w:r w:rsidRPr="004971C1">
        <w:rPr>
          <w:rFonts w:eastAsia="Times New Roman"/>
        </w:rPr>
        <w:t xml:space="preserve"> affecting </w:t>
      </w:r>
      <w:r>
        <w:rPr>
          <w:rFonts w:eastAsia="Times New Roman"/>
        </w:rPr>
        <w:t>persons with disabilities</w:t>
      </w:r>
      <w:r w:rsidRPr="004971C1">
        <w:rPr>
          <w:rFonts w:eastAsia="Times New Roman"/>
        </w:rPr>
        <w:t xml:space="preserve"> with other protected characteristics.</w:t>
      </w:r>
    </w:p>
    <w:p w14:paraId="42E26EF6" w14:textId="77777777" w:rsidR="002B7B19" w:rsidRPr="004971C1" w:rsidRDefault="002B7B19" w:rsidP="000B7BDE">
      <w:pPr>
        <w:pStyle w:val="ColorfulList-Accent11"/>
        <w:spacing w:after="240"/>
        <w:ind w:left="1080"/>
        <w:textAlignment w:val="baseline"/>
        <w:rPr>
          <w:rFonts w:eastAsia="Times New Roman"/>
        </w:rPr>
      </w:pPr>
    </w:p>
    <w:p w14:paraId="03C7B18E" w14:textId="77777777" w:rsidR="000B7BDE" w:rsidRPr="004971C1" w:rsidRDefault="000B7BDE" w:rsidP="000B7BDE">
      <w:pPr>
        <w:pStyle w:val="ColorfulList-Accent11"/>
        <w:numPr>
          <w:ilvl w:val="0"/>
          <w:numId w:val="9"/>
        </w:numPr>
        <w:spacing w:after="240"/>
        <w:ind w:left="1080"/>
        <w:textAlignment w:val="baseline"/>
        <w:rPr>
          <w:rFonts w:eastAsia="Times New Roman"/>
        </w:rPr>
      </w:pPr>
      <w:r w:rsidRPr="004971C1">
        <w:rPr>
          <w:rFonts w:eastAsia="Times New Roman"/>
        </w:rPr>
        <w:t>The program participant may also describe other information relevant to its assessment of disability and access issues.</w:t>
      </w:r>
    </w:p>
    <w:p w14:paraId="1EF3546D" w14:textId="77777777" w:rsidR="000B7BDE" w:rsidRPr="004971C1" w:rsidRDefault="000B7BDE" w:rsidP="000B7BDE">
      <w:pPr>
        <w:pStyle w:val="ColorfulList-Accent11"/>
        <w:tabs>
          <w:tab w:val="left" w:pos="864"/>
        </w:tabs>
        <w:spacing w:after="240"/>
        <w:ind w:left="900"/>
        <w:textAlignment w:val="baseline"/>
        <w:rPr>
          <w:rFonts w:eastAsia="Times New Roman"/>
        </w:rPr>
      </w:pPr>
    </w:p>
    <w:p w14:paraId="77FAAA24" w14:textId="77777777" w:rsidR="000B7BDE" w:rsidRPr="004971C1" w:rsidRDefault="000B7BDE" w:rsidP="000B7BDE">
      <w:pPr>
        <w:pStyle w:val="ColorfulList-Accent11"/>
        <w:numPr>
          <w:ilvl w:val="0"/>
          <w:numId w:val="7"/>
        </w:numPr>
        <w:spacing w:after="240"/>
        <w:ind w:left="720"/>
        <w:textAlignment w:val="baseline"/>
        <w:rPr>
          <w:rFonts w:eastAsia="Times New Roman"/>
          <w:b/>
          <w:spacing w:val="4"/>
        </w:rPr>
      </w:pPr>
      <w:r w:rsidRPr="004971C1">
        <w:rPr>
          <w:rFonts w:eastAsia="Times New Roman"/>
          <w:b/>
          <w:spacing w:val="4"/>
        </w:rPr>
        <w:t>Disability and Access Issues Contributing Factors</w:t>
      </w:r>
    </w:p>
    <w:p w14:paraId="665E3165" w14:textId="77777777" w:rsidR="000B7BDE" w:rsidRPr="004971C1" w:rsidRDefault="000B7BDE" w:rsidP="000B7BDE">
      <w:pPr>
        <w:spacing w:after="240"/>
        <w:ind w:left="720" w:right="360"/>
        <w:textAlignment w:val="baseline"/>
        <w:rPr>
          <w:rFonts w:eastAsia="Times New Roman"/>
        </w:rPr>
      </w:pPr>
      <w:r w:rsidRPr="004971C1">
        <w:rPr>
          <w:rFonts w:eastAsia="Times New Roman"/>
          <w:i/>
        </w:rPr>
        <w:t>Consider the listed factors and any other factors affecting the jurisdiction and region.  Identify factors that significantly create, contribute to, perpetuate, or increase the severity of disability and access issues and the fair housing issues, which are Segregation, R</w:t>
      </w:r>
      <w:r>
        <w:rPr>
          <w:rFonts w:eastAsia="Times New Roman"/>
          <w:i/>
        </w:rPr>
        <w:t>/</w:t>
      </w:r>
      <w:r w:rsidRPr="004971C1">
        <w:rPr>
          <w:rFonts w:eastAsia="Times New Roman"/>
          <w:i/>
        </w:rPr>
        <w:t>ECAPs, Disparities in Access to Opportunity, and Disproportionate Housing Needs. For each contributing factor, note which fair housing issue(s) the selected contributing factor relates to.</w:t>
      </w:r>
    </w:p>
    <w:p w14:paraId="4699D585"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spacing w:val="-2"/>
        </w:rPr>
        <w:lastRenderedPageBreak/>
        <w:t>Access for persons with disabilities</w:t>
      </w:r>
      <w:r>
        <w:rPr>
          <w:rFonts w:eastAsia="Times New Roman"/>
          <w:spacing w:val="-2"/>
        </w:rPr>
        <w:t xml:space="preserve"> to proficient schools</w:t>
      </w:r>
    </w:p>
    <w:p w14:paraId="16A12364"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spacing w:val="-1"/>
        </w:rPr>
        <w:t>Access to publicly supported housing for persons with disabilities</w:t>
      </w:r>
    </w:p>
    <w:p w14:paraId="3ED75F29" w14:textId="77777777" w:rsidR="000B7BDE" w:rsidRPr="00D54655"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spacing w:val="-1"/>
        </w:rPr>
        <w:t>Access to transportation for persons with disabilities</w:t>
      </w:r>
    </w:p>
    <w:p w14:paraId="676A8BB2" w14:textId="77777777" w:rsidR="000B7BDE" w:rsidRDefault="000B7BDE" w:rsidP="000B7BDE">
      <w:pPr>
        <w:numPr>
          <w:ilvl w:val="0"/>
          <w:numId w:val="1"/>
        </w:numPr>
        <w:tabs>
          <w:tab w:val="clear" w:pos="360"/>
          <w:tab w:val="left" w:pos="1152"/>
        </w:tabs>
        <w:ind w:left="1440" w:hanging="360"/>
        <w:textAlignment w:val="baseline"/>
        <w:rPr>
          <w:rFonts w:eastAsia="Times New Roman"/>
        </w:rPr>
      </w:pPr>
      <w:r>
        <w:rPr>
          <w:rFonts w:eastAsia="Times New Roman"/>
          <w:spacing w:val="-1"/>
        </w:rPr>
        <w:t>Inaccessible government facilities or services</w:t>
      </w:r>
    </w:p>
    <w:p w14:paraId="7D7E29C4"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spacing w:val="-1"/>
        </w:rPr>
        <w:t xml:space="preserve">Inaccessible </w:t>
      </w:r>
      <w:r>
        <w:rPr>
          <w:rFonts w:eastAsia="Times New Roman"/>
          <w:spacing w:val="-1"/>
        </w:rPr>
        <w:t>public</w:t>
      </w:r>
      <w:r w:rsidRPr="004971C1">
        <w:rPr>
          <w:rFonts w:eastAsia="Times New Roman"/>
          <w:spacing w:val="-1"/>
        </w:rPr>
        <w:t xml:space="preserve"> or </w:t>
      </w:r>
      <w:r>
        <w:rPr>
          <w:rFonts w:eastAsia="Times New Roman"/>
          <w:spacing w:val="-1"/>
        </w:rPr>
        <w:t>private infrastructure</w:t>
      </w:r>
      <w:r w:rsidRPr="004971C1">
        <w:rPr>
          <w:rFonts w:eastAsia="Times New Roman"/>
          <w:spacing w:val="-1"/>
        </w:rPr>
        <w:t xml:space="preserve"> </w:t>
      </w:r>
    </w:p>
    <w:p w14:paraId="6C1538F0" w14:textId="77777777" w:rsidR="000B7BDE" w:rsidRDefault="000B7BDE" w:rsidP="000B7BDE">
      <w:pPr>
        <w:numPr>
          <w:ilvl w:val="0"/>
          <w:numId w:val="1"/>
        </w:numPr>
        <w:tabs>
          <w:tab w:val="clear" w:pos="360"/>
          <w:tab w:val="left" w:pos="1152"/>
        </w:tabs>
        <w:ind w:left="1440" w:hanging="360"/>
        <w:textAlignment w:val="baseline"/>
        <w:rPr>
          <w:rFonts w:eastAsia="Times New Roman"/>
        </w:rPr>
      </w:pPr>
      <w:r>
        <w:rPr>
          <w:rFonts w:eastAsia="Times New Roman"/>
        </w:rPr>
        <w:t>Lack of access to opportunity due to high housing costs</w:t>
      </w:r>
    </w:p>
    <w:p w14:paraId="05364F65"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Lack of affordable in-home or community-based supportive services</w:t>
      </w:r>
    </w:p>
    <w:p w14:paraId="0F908114"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Lack of affordable, accessible housing in range of unit sizes</w:t>
      </w:r>
    </w:p>
    <w:p w14:paraId="35B49643"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Lack of affordable, integrated housing for individuals who need supportive services</w:t>
      </w:r>
    </w:p>
    <w:p w14:paraId="6BF55271"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Lack of assistance for housing accessibility modifications</w:t>
      </w:r>
    </w:p>
    <w:p w14:paraId="3D68AB8B" w14:textId="77777777" w:rsidR="000B7BDE"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Lack of assistance for transitioning from institutional settings to integrated housing</w:t>
      </w:r>
    </w:p>
    <w:p w14:paraId="7389BBF3" w14:textId="77777777" w:rsidR="000B7BDE" w:rsidRDefault="000B7BDE" w:rsidP="000B7BDE">
      <w:pPr>
        <w:numPr>
          <w:ilvl w:val="0"/>
          <w:numId w:val="1"/>
        </w:numPr>
        <w:tabs>
          <w:tab w:val="clear" w:pos="360"/>
          <w:tab w:val="left" w:pos="1152"/>
        </w:tabs>
        <w:ind w:left="1440" w:hanging="360"/>
        <w:textAlignment w:val="baseline"/>
        <w:rPr>
          <w:rFonts w:eastAsia="Times New Roman"/>
        </w:rPr>
      </w:pPr>
      <w:r>
        <w:rPr>
          <w:rFonts w:eastAsia="Times New Roman"/>
        </w:rPr>
        <w:t>Lack of local or regional cooperation</w:t>
      </w:r>
    </w:p>
    <w:p w14:paraId="05FC4BEC"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Land use and zoning laws</w:t>
      </w:r>
    </w:p>
    <w:p w14:paraId="3AF94CEA"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 xml:space="preserve">Lending </w:t>
      </w:r>
      <w:r>
        <w:rPr>
          <w:rFonts w:eastAsia="Times New Roman"/>
        </w:rPr>
        <w:t>d</w:t>
      </w:r>
      <w:r w:rsidRPr="004971C1">
        <w:rPr>
          <w:rFonts w:eastAsia="Times New Roman"/>
        </w:rPr>
        <w:t>iscrimination</w:t>
      </w:r>
    </w:p>
    <w:p w14:paraId="09087EFC" w14:textId="77777777" w:rsidR="000B7BDE"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Location of accessible housing</w:t>
      </w:r>
    </w:p>
    <w:p w14:paraId="25FC3216" w14:textId="77777777" w:rsidR="000B7BDE" w:rsidRDefault="000B7BDE" w:rsidP="000B7BDE">
      <w:pPr>
        <w:numPr>
          <w:ilvl w:val="0"/>
          <w:numId w:val="1"/>
        </w:numPr>
        <w:tabs>
          <w:tab w:val="clear" w:pos="360"/>
          <w:tab w:val="left" w:pos="1152"/>
        </w:tabs>
        <w:ind w:left="1440" w:hanging="360"/>
        <w:textAlignment w:val="baseline"/>
        <w:rPr>
          <w:rFonts w:eastAsia="Times New Roman"/>
        </w:rPr>
      </w:pPr>
      <w:r>
        <w:rPr>
          <w:rFonts w:eastAsia="Times New Roman"/>
        </w:rPr>
        <w:t xml:space="preserve">Loss of Affordable Housing </w:t>
      </w:r>
    </w:p>
    <w:p w14:paraId="571A33BB"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Occupancy codes and restrictions</w:t>
      </w:r>
    </w:p>
    <w:p w14:paraId="233F808D" w14:textId="77777777" w:rsidR="000B7BDE" w:rsidRPr="004971C1" w:rsidRDefault="000B7BDE" w:rsidP="000B7BDE">
      <w:pPr>
        <w:numPr>
          <w:ilvl w:val="0"/>
          <w:numId w:val="1"/>
        </w:numPr>
        <w:tabs>
          <w:tab w:val="clear" w:pos="360"/>
          <w:tab w:val="left" w:pos="1152"/>
        </w:tabs>
        <w:ind w:left="1440" w:hanging="360"/>
        <w:textAlignment w:val="baseline"/>
        <w:rPr>
          <w:rFonts w:eastAsia="Times New Roman"/>
        </w:rPr>
      </w:pPr>
      <w:r w:rsidRPr="004971C1">
        <w:rPr>
          <w:rFonts w:eastAsia="Times New Roman"/>
        </w:rPr>
        <w:t xml:space="preserve">Regulatory barriers to providing housing and supportive services for persons with disabilities </w:t>
      </w:r>
    </w:p>
    <w:p w14:paraId="56335F1D" w14:textId="77777777" w:rsidR="000B7BDE" w:rsidRDefault="000B7BDE" w:rsidP="000B7BDE">
      <w:pPr>
        <w:numPr>
          <w:ilvl w:val="0"/>
          <w:numId w:val="1"/>
        </w:numPr>
        <w:tabs>
          <w:tab w:val="clear" w:pos="360"/>
          <w:tab w:val="left" w:pos="1170"/>
        </w:tabs>
        <w:ind w:left="1440" w:hanging="360"/>
        <w:textAlignment w:val="baseline"/>
        <w:rPr>
          <w:rFonts w:eastAsia="Times New Roman"/>
        </w:rPr>
      </w:pPr>
      <w:r>
        <w:rPr>
          <w:rFonts w:eastAsia="Times New Roman"/>
        </w:rPr>
        <w:t>Source of income discrimination</w:t>
      </w:r>
    </w:p>
    <w:p w14:paraId="0BD4B6BA" w14:textId="77777777" w:rsidR="000B7BDE" w:rsidRDefault="000B7BDE" w:rsidP="000B7BDE">
      <w:pPr>
        <w:numPr>
          <w:ilvl w:val="0"/>
          <w:numId w:val="1"/>
        </w:numPr>
        <w:tabs>
          <w:tab w:val="clear" w:pos="360"/>
          <w:tab w:val="left" w:pos="1170"/>
        </w:tabs>
        <w:ind w:left="1440" w:hanging="360"/>
        <w:textAlignment w:val="baseline"/>
        <w:rPr>
          <w:rFonts w:eastAsia="Times New Roman"/>
        </w:rPr>
      </w:pPr>
      <w:r w:rsidRPr="00B93BA4">
        <w:rPr>
          <w:rFonts w:eastAsia="Times New Roman"/>
        </w:rPr>
        <w:t xml:space="preserve">State or local laws, policies, or practices that discourage individuals with </w:t>
      </w:r>
    </w:p>
    <w:p w14:paraId="7A72B337" w14:textId="77777777" w:rsidR="000B7BDE" w:rsidRPr="00B93BA4" w:rsidRDefault="000B7BDE" w:rsidP="000B7BDE">
      <w:pPr>
        <w:tabs>
          <w:tab w:val="left" w:pos="1170"/>
        </w:tabs>
        <w:ind w:left="1440" w:hanging="360"/>
        <w:textAlignment w:val="baseline"/>
        <w:rPr>
          <w:rFonts w:eastAsia="Times New Roman"/>
        </w:rPr>
      </w:pPr>
      <w:r>
        <w:rPr>
          <w:rFonts w:eastAsia="Times New Roman"/>
        </w:rPr>
        <w:tab/>
      </w:r>
      <w:r>
        <w:rPr>
          <w:rFonts w:eastAsia="Times New Roman"/>
        </w:rPr>
        <w:tab/>
      </w:r>
      <w:r w:rsidRPr="00B93BA4">
        <w:rPr>
          <w:rFonts w:eastAsia="Times New Roman"/>
        </w:rPr>
        <w:t xml:space="preserve">disabilities from living in apartments, family homes, </w:t>
      </w:r>
      <w:r>
        <w:rPr>
          <w:rFonts w:eastAsia="Times New Roman"/>
        </w:rPr>
        <w:t>supportive</w:t>
      </w:r>
      <w:r w:rsidRPr="00B93BA4">
        <w:rPr>
          <w:rFonts w:eastAsia="Times New Roman"/>
        </w:rPr>
        <w:t xml:space="preserve"> housing, shared housing and other integrated settings</w:t>
      </w:r>
    </w:p>
    <w:p w14:paraId="1D524749" w14:textId="77777777" w:rsidR="00837810" w:rsidRPr="00BB3598" w:rsidRDefault="000B7BDE" w:rsidP="00BB3598">
      <w:pPr>
        <w:numPr>
          <w:ilvl w:val="0"/>
          <w:numId w:val="1"/>
        </w:numPr>
        <w:tabs>
          <w:tab w:val="clear" w:pos="360"/>
          <w:tab w:val="left" w:pos="1170"/>
        </w:tabs>
        <w:ind w:left="1440" w:hanging="360"/>
        <w:textAlignment w:val="baseline"/>
        <w:rPr>
          <w:rFonts w:eastAsia="Times New Roman"/>
        </w:rPr>
      </w:pPr>
      <w:r w:rsidRPr="004971C1">
        <w:rPr>
          <w:rFonts w:eastAsia="Times New Roman"/>
          <w:spacing w:val="-2"/>
        </w:rPr>
        <w:t>Other</w:t>
      </w:r>
    </w:p>
    <w:sectPr w:rsidR="00837810" w:rsidRPr="00BB35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nner, Jessica" w:date="2018-01-30T15:36:00Z" w:initials="CJ">
    <w:p w14:paraId="73FF8F30" w14:textId="10330AB0" w:rsidR="00CC7055" w:rsidRDefault="00CC7055">
      <w:pPr>
        <w:pStyle w:val="CommentText"/>
      </w:pPr>
      <w:r>
        <w:rPr>
          <w:rStyle w:val="CommentReference"/>
        </w:rPr>
        <w:annotationRef/>
      </w:r>
      <w:r w:rsidR="00E7091E">
        <w:t xml:space="preserve">Still waiting to hear from Nickole about many of the questions in this section.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FF8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FF8F30" w16cid:durableId="1E9C1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8F35" w14:textId="77777777" w:rsidR="00E92D6E" w:rsidRDefault="00E92D6E" w:rsidP="00F80437">
      <w:r>
        <w:separator/>
      </w:r>
    </w:p>
  </w:endnote>
  <w:endnote w:type="continuationSeparator" w:id="0">
    <w:p w14:paraId="783CD90D" w14:textId="77777777" w:rsidR="00E92D6E" w:rsidRDefault="00E92D6E" w:rsidP="00F8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5DC5" w14:textId="77777777" w:rsidR="00F80437" w:rsidRDefault="00F80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7F7E" w14:textId="77777777" w:rsidR="00F80437" w:rsidRDefault="00F80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54E3" w14:textId="77777777" w:rsidR="00F80437" w:rsidRDefault="00F8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D3E99" w14:textId="77777777" w:rsidR="00E92D6E" w:rsidRDefault="00E92D6E" w:rsidP="00F80437">
      <w:r>
        <w:separator/>
      </w:r>
    </w:p>
  </w:footnote>
  <w:footnote w:type="continuationSeparator" w:id="0">
    <w:p w14:paraId="0DE816D2" w14:textId="77777777" w:rsidR="00E92D6E" w:rsidRDefault="00E92D6E" w:rsidP="00F8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799F" w14:textId="77777777" w:rsidR="00F80437" w:rsidRDefault="00F80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F98E" w14:textId="36A883DB" w:rsidR="00F80437" w:rsidRDefault="00F80437">
    <w:pPr>
      <w:pStyle w:val="Header"/>
    </w:pPr>
    <w:sdt>
      <w:sdtPr>
        <w:id w:val="-206725400"/>
        <w:docPartObj>
          <w:docPartGallery w:val="Watermarks"/>
          <w:docPartUnique/>
        </w:docPartObj>
      </w:sdtPr>
      <w:sdtContent>
        <w:r>
          <w:rPr>
            <w:noProof/>
          </w:rPr>
          <w:pict w14:anchorId="3DE57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Draft February 2018</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6C7D" w14:textId="77777777" w:rsidR="00F80437" w:rsidRDefault="00F8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686"/>
    <w:multiLevelType w:val="hybridMultilevel"/>
    <w:tmpl w:val="CFF21308"/>
    <w:lvl w:ilvl="0" w:tplc="6EBA6B8E">
      <w:start w:val="1"/>
      <w:numFmt w:val="upperLetter"/>
      <w:lvlText w:val="%1."/>
      <w:lvlJc w:val="left"/>
      <w:pPr>
        <w:ind w:left="864" w:hanging="360"/>
      </w:pPr>
      <w:rPr>
        <w:b/>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D1A40C2"/>
    <w:multiLevelType w:val="multilevel"/>
    <w:tmpl w:val="427AC4C2"/>
    <w:lvl w:ilvl="0">
      <w:start w:val="1"/>
      <w:numFmt w:val="lowerLetter"/>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7748F"/>
    <w:multiLevelType w:val="hybridMultilevel"/>
    <w:tmpl w:val="521A42BA"/>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344E75"/>
    <w:multiLevelType w:val="hybridMultilevel"/>
    <w:tmpl w:val="BA76EADE"/>
    <w:lvl w:ilvl="0" w:tplc="D592CC76">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6389F"/>
    <w:multiLevelType w:val="multilevel"/>
    <w:tmpl w:val="187A41F0"/>
    <w:lvl w:ilvl="0">
      <w:start w:val="1"/>
      <w:numFmt w:val="lowerRoman"/>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2C6B2B"/>
    <w:multiLevelType w:val="hybridMultilevel"/>
    <w:tmpl w:val="D45A10D6"/>
    <w:lvl w:ilvl="0" w:tplc="2362ECBE">
      <w:start w:val="1"/>
      <w:numFmt w:val="lowerLetter"/>
      <w:lvlText w:val="%1."/>
      <w:lvlJc w:val="left"/>
      <w:pPr>
        <w:ind w:left="144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9E2249A"/>
    <w:multiLevelType w:val="multilevel"/>
    <w:tmpl w:val="C9403A36"/>
    <w:lvl w:ilvl="0">
      <w:start w:val="1"/>
      <w:numFmt w:val="lowerLetter"/>
      <w:lvlText w:val="%1."/>
      <w:lvlJc w:val="left"/>
      <w:pPr>
        <w:tabs>
          <w:tab w:val="left" w:pos="648"/>
        </w:tabs>
        <w:ind w:left="1008"/>
      </w:pPr>
      <w:rPr>
        <w:rFonts w:ascii="Times New Roman" w:eastAsia="Times New Roman" w:hAnsi="Times New Roman"/>
        <w:i w:val="0"/>
        <w:strike w:val="0"/>
        <w:color w:val="auto"/>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812242"/>
    <w:multiLevelType w:val="multilevel"/>
    <w:tmpl w:val="EFBA55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
  </w:num>
  <w:num w:numId="4">
    <w:abstractNumId w:val="7"/>
  </w:num>
  <w:num w:numId="5">
    <w:abstractNumId w:val="5"/>
  </w:num>
  <w:num w:numId="6">
    <w:abstractNumId w:val="0"/>
  </w:num>
  <w:num w:numId="7">
    <w:abstractNumId w:val="4"/>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ner, Jessica">
    <w15:presenceInfo w15:providerId="AD" w15:userId="S-1-5-21-1562068243-3890762121-1459926415-85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DE"/>
    <w:rsid w:val="000211A7"/>
    <w:rsid w:val="00025BC4"/>
    <w:rsid w:val="00055A36"/>
    <w:rsid w:val="00090BB0"/>
    <w:rsid w:val="00093694"/>
    <w:rsid w:val="000B7BDE"/>
    <w:rsid w:val="0012228A"/>
    <w:rsid w:val="001232E2"/>
    <w:rsid w:val="001D19CF"/>
    <w:rsid w:val="001E38DF"/>
    <w:rsid w:val="00275A97"/>
    <w:rsid w:val="002B7B19"/>
    <w:rsid w:val="002E1543"/>
    <w:rsid w:val="002E461D"/>
    <w:rsid w:val="003006CF"/>
    <w:rsid w:val="00314F09"/>
    <w:rsid w:val="00326B88"/>
    <w:rsid w:val="00362CAA"/>
    <w:rsid w:val="00375095"/>
    <w:rsid w:val="00422626"/>
    <w:rsid w:val="004541E4"/>
    <w:rsid w:val="004817D1"/>
    <w:rsid w:val="004A31D6"/>
    <w:rsid w:val="004A4398"/>
    <w:rsid w:val="004D2CF8"/>
    <w:rsid w:val="0050456A"/>
    <w:rsid w:val="00530494"/>
    <w:rsid w:val="0059619C"/>
    <w:rsid w:val="006C7015"/>
    <w:rsid w:val="007B1958"/>
    <w:rsid w:val="007F1B00"/>
    <w:rsid w:val="007F71E2"/>
    <w:rsid w:val="00837810"/>
    <w:rsid w:val="00853CBD"/>
    <w:rsid w:val="008B5579"/>
    <w:rsid w:val="008E1409"/>
    <w:rsid w:val="008E6404"/>
    <w:rsid w:val="009237A9"/>
    <w:rsid w:val="009315E0"/>
    <w:rsid w:val="00956DB6"/>
    <w:rsid w:val="009965D8"/>
    <w:rsid w:val="009E53CA"/>
    <w:rsid w:val="00A1439F"/>
    <w:rsid w:val="00A204A6"/>
    <w:rsid w:val="00A834B7"/>
    <w:rsid w:val="00AD15C9"/>
    <w:rsid w:val="00AE0EEB"/>
    <w:rsid w:val="00AF051E"/>
    <w:rsid w:val="00B20175"/>
    <w:rsid w:val="00B633A4"/>
    <w:rsid w:val="00BB3598"/>
    <w:rsid w:val="00BC7926"/>
    <w:rsid w:val="00C04FDF"/>
    <w:rsid w:val="00C06BC1"/>
    <w:rsid w:val="00C31050"/>
    <w:rsid w:val="00C6168C"/>
    <w:rsid w:val="00C820F1"/>
    <w:rsid w:val="00CA5E28"/>
    <w:rsid w:val="00CC7055"/>
    <w:rsid w:val="00CD5A4D"/>
    <w:rsid w:val="00CF2B29"/>
    <w:rsid w:val="00D23FE7"/>
    <w:rsid w:val="00D55F15"/>
    <w:rsid w:val="00D927A8"/>
    <w:rsid w:val="00E6506A"/>
    <w:rsid w:val="00E7091E"/>
    <w:rsid w:val="00E72335"/>
    <w:rsid w:val="00E92D6E"/>
    <w:rsid w:val="00E97230"/>
    <w:rsid w:val="00F80437"/>
    <w:rsid w:val="00FB27D6"/>
    <w:rsid w:val="00FB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9885A"/>
  <w15:chartTrackingRefBased/>
  <w15:docId w15:val="{C1355834-B106-44E5-BCE3-1E578633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BD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B7BDE"/>
    <w:pPr>
      <w:ind w:left="720"/>
      <w:contextualSpacing/>
    </w:pPr>
  </w:style>
  <w:style w:type="paragraph" w:customStyle="1" w:styleId="Pa25">
    <w:name w:val="Pa25"/>
    <w:basedOn w:val="Normal"/>
    <w:next w:val="Normal"/>
    <w:uiPriority w:val="99"/>
    <w:rsid w:val="002E461D"/>
    <w:pPr>
      <w:autoSpaceDE w:val="0"/>
      <w:autoSpaceDN w:val="0"/>
      <w:adjustRightInd w:val="0"/>
      <w:spacing w:line="201" w:lineRule="atLeast"/>
    </w:pPr>
    <w:rPr>
      <w:rFonts w:ascii="FranklinGothicURWBoo" w:eastAsiaTheme="minorHAnsi" w:hAnsi="FranklinGothicURWBoo" w:cstheme="minorBidi"/>
      <w:sz w:val="24"/>
      <w:szCs w:val="24"/>
    </w:rPr>
  </w:style>
  <w:style w:type="character" w:styleId="CommentReference">
    <w:name w:val="annotation reference"/>
    <w:basedOn w:val="DefaultParagraphFont"/>
    <w:uiPriority w:val="99"/>
    <w:semiHidden/>
    <w:unhideWhenUsed/>
    <w:rsid w:val="00CC7055"/>
    <w:rPr>
      <w:sz w:val="16"/>
      <w:szCs w:val="16"/>
    </w:rPr>
  </w:style>
  <w:style w:type="paragraph" w:styleId="CommentText">
    <w:name w:val="annotation text"/>
    <w:basedOn w:val="Normal"/>
    <w:link w:val="CommentTextChar"/>
    <w:uiPriority w:val="99"/>
    <w:semiHidden/>
    <w:unhideWhenUsed/>
    <w:rsid w:val="00CC7055"/>
    <w:rPr>
      <w:sz w:val="20"/>
      <w:szCs w:val="20"/>
    </w:rPr>
  </w:style>
  <w:style w:type="character" w:customStyle="1" w:styleId="CommentTextChar">
    <w:name w:val="Comment Text Char"/>
    <w:basedOn w:val="DefaultParagraphFont"/>
    <w:link w:val="CommentText"/>
    <w:uiPriority w:val="99"/>
    <w:semiHidden/>
    <w:rsid w:val="00CC7055"/>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7055"/>
    <w:rPr>
      <w:b/>
      <w:bCs/>
    </w:rPr>
  </w:style>
  <w:style w:type="character" w:customStyle="1" w:styleId="CommentSubjectChar">
    <w:name w:val="Comment Subject Char"/>
    <w:basedOn w:val="CommentTextChar"/>
    <w:link w:val="CommentSubject"/>
    <w:uiPriority w:val="99"/>
    <w:semiHidden/>
    <w:rsid w:val="00CC7055"/>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CC7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055"/>
    <w:rPr>
      <w:rFonts w:ascii="Segoe UI" w:eastAsia="PMingLiU" w:hAnsi="Segoe UI" w:cs="Segoe UI"/>
      <w:sz w:val="18"/>
      <w:szCs w:val="18"/>
    </w:rPr>
  </w:style>
  <w:style w:type="paragraph" w:styleId="ListParagraph">
    <w:name w:val="List Paragraph"/>
    <w:basedOn w:val="Normal"/>
    <w:uiPriority w:val="34"/>
    <w:qFormat/>
    <w:rsid w:val="00090BB0"/>
    <w:pPr>
      <w:ind w:left="720"/>
      <w:contextualSpacing/>
    </w:pPr>
  </w:style>
  <w:style w:type="paragraph" w:styleId="NormalWeb">
    <w:name w:val="Normal (Web)"/>
    <w:basedOn w:val="Normal"/>
    <w:uiPriority w:val="99"/>
    <w:unhideWhenUsed/>
    <w:rsid w:val="00FB27D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B27D6"/>
    <w:rPr>
      <w:b/>
      <w:bCs/>
    </w:rPr>
  </w:style>
  <w:style w:type="character" w:styleId="Hyperlink">
    <w:name w:val="Hyperlink"/>
    <w:basedOn w:val="DefaultParagraphFont"/>
    <w:uiPriority w:val="99"/>
    <w:semiHidden/>
    <w:unhideWhenUsed/>
    <w:rsid w:val="00FB27D6"/>
    <w:rPr>
      <w:color w:val="0000FF"/>
      <w:u w:val="single"/>
    </w:rPr>
  </w:style>
  <w:style w:type="paragraph" w:styleId="Header">
    <w:name w:val="header"/>
    <w:basedOn w:val="Normal"/>
    <w:link w:val="HeaderChar"/>
    <w:uiPriority w:val="99"/>
    <w:unhideWhenUsed/>
    <w:rsid w:val="00F80437"/>
    <w:pPr>
      <w:tabs>
        <w:tab w:val="center" w:pos="4680"/>
        <w:tab w:val="right" w:pos="9360"/>
      </w:tabs>
    </w:pPr>
  </w:style>
  <w:style w:type="character" w:customStyle="1" w:styleId="HeaderChar">
    <w:name w:val="Header Char"/>
    <w:basedOn w:val="DefaultParagraphFont"/>
    <w:link w:val="Header"/>
    <w:uiPriority w:val="99"/>
    <w:rsid w:val="00F80437"/>
    <w:rPr>
      <w:rFonts w:ascii="Times New Roman" w:eastAsia="PMingLiU" w:hAnsi="Times New Roman" w:cs="Times New Roman"/>
    </w:rPr>
  </w:style>
  <w:style w:type="paragraph" w:styleId="Footer">
    <w:name w:val="footer"/>
    <w:basedOn w:val="Normal"/>
    <w:link w:val="FooterChar"/>
    <w:uiPriority w:val="99"/>
    <w:unhideWhenUsed/>
    <w:rsid w:val="00F80437"/>
    <w:pPr>
      <w:tabs>
        <w:tab w:val="center" w:pos="4680"/>
        <w:tab w:val="right" w:pos="9360"/>
      </w:tabs>
    </w:pPr>
  </w:style>
  <w:style w:type="character" w:customStyle="1" w:styleId="FooterChar">
    <w:name w:val="Footer Char"/>
    <w:basedOn w:val="DefaultParagraphFont"/>
    <w:link w:val="Footer"/>
    <w:uiPriority w:val="99"/>
    <w:rsid w:val="00F80437"/>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885282">
      <w:bodyDiv w:val="1"/>
      <w:marLeft w:val="0"/>
      <w:marRight w:val="0"/>
      <w:marTop w:val="0"/>
      <w:marBottom w:val="0"/>
      <w:divBdr>
        <w:top w:val="none" w:sz="0" w:space="0" w:color="auto"/>
        <w:left w:val="none" w:sz="0" w:space="0" w:color="auto"/>
        <w:bottom w:val="none" w:sz="0" w:space="0" w:color="auto"/>
        <w:right w:val="none" w:sz="0" w:space="0" w:color="auto"/>
      </w:divBdr>
    </w:div>
    <w:div w:id="1265841185">
      <w:bodyDiv w:val="1"/>
      <w:marLeft w:val="0"/>
      <w:marRight w:val="0"/>
      <w:marTop w:val="0"/>
      <w:marBottom w:val="0"/>
      <w:divBdr>
        <w:top w:val="none" w:sz="0" w:space="0" w:color="auto"/>
        <w:left w:val="none" w:sz="0" w:space="0" w:color="auto"/>
        <w:bottom w:val="none" w:sz="0" w:space="0" w:color="auto"/>
        <w:right w:val="none" w:sz="0" w:space="0" w:color="auto"/>
      </w:divBdr>
    </w:div>
    <w:div w:id="16052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3108</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Kim</dc:creator>
  <cp:keywords/>
  <dc:description/>
  <cp:lastModifiedBy>McCarty, Kim</cp:lastModifiedBy>
  <cp:revision>48</cp:revision>
  <dcterms:created xsi:type="dcterms:W3CDTF">2018-01-24T19:02:00Z</dcterms:created>
  <dcterms:modified xsi:type="dcterms:W3CDTF">2018-05-08T19:58:00Z</dcterms:modified>
</cp:coreProperties>
</file>