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412F" w14:textId="14105923" w:rsidR="005938DB" w:rsidRPr="003F335F" w:rsidRDefault="00246F2C" w:rsidP="009F3C68">
      <w:r w:rsidRPr="003F335F">
        <w:t>November 2, 2017</w:t>
      </w:r>
      <w:bookmarkStart w:id="0" w:name="_GoBack"/>
      <w:bookmarkEnd w:id="0"/>
    </w:p>
    <w:p w14:paraId="7D2DDA62" w14:textId="6347C6AD" w:rsidR="009F3C68" w:rsidRDefault="009F3C68" w:rsidP="009F3C68"/>
    <w:p w14:paraId="539DBF7A" w14:textId="21E49BF2" w:rsidR="009F3C68" w:rsidRDefault="009F3C68" w:rsidP="009F3C68">
      <w:r w:rsidRPr="009F3C68">
        <w:rPr>
          <w:b/>
        </w:rPr>
        <w:t>To:</w:t>
      </w:r>
      <w:r>
        <w:t xml:space="preserve"> </w:t>
      </w:r>
      <w:r>
        <w:tab/>
      </w:r>
      <w:r>
        <w:tab/>
        <w:t>Portland Housing Bureau</w:t>
      </w:r>
      <w:r w:rsidR="00246F2C">
        <w:t xml:space="preserve"> N/NE</w:t>
      </w:r>
      <w:r>
        <w:t xml:space="preserve"> Oversight Committee</w:t>
      </w:r>
    </w:p>
    <w:p w14:paraId="62DED738" w14:textId="4D814CF4" w:rsidR="009F3C68" w:rsidRDefault="009F3C68" w:rsidP="009F3C68"/>
    <w:p w14:paraId="39786B20" w14:textId="4C5CA09C" w:rsidR="009F3C68" w:rsidRDefault="009F3C68" w:rsidP="009F3C68">
      <w:r w:rsidRPr="009F3C68">
        <w:rPr>
          <w:b/>
        </w:rPr>
        <w:t>From:</w:t>
      </w:r>
      <w:r>
        <w:t xml:space="preserve"> </w:t>
      </w:r>
      <w:r>
        <w:tab/>
      </w:r>
      <w:r>
        <w:tab/>
        <w:t>Andrea Matthiessen, Housing Program Manager</w:t>
      </w:r>
    </w:p>
    <w:p w14:paraId="188A70C4" w14:textId="46F30F9A" w:rsidR="009F3C68" w:rsidRDefault="009F3C68" w:rsidP="009F3C68"/>
    <w:p w14:paraId="75AA6E0C" w14:textId="37896EB2" w:rsidR="009F3C68" w:rsidRDefault="009F3C68" w:rsidP="009F3C68">
      <w:r w:rsidRPr="009F3C68">
        <w:rPr>
          <w:b/>
        </w:rPr>
        <w:t>Re:</w:t>
      </w:r>
      <w:r>
        <w:tab/>
      </w:r>
      <w:r>
        <w:tab/>
      </w:r>
      <w:r w:rsidR="00246F2C">
        <w:t xml:space="preserve">N/NE Homeownership </w:t>
      </w:r>
      <w:r>
        <w:t xml:space="preserve">Update </w:t>
      </w:r>
    </w:p>
    <w:p w14:paraId="7CFC05AA" w14:textId="392D254C" w:rsidR="009F3C68" w:rsidRDefault="009F3C68" w:rsidP="009F3C68">
      <w:r>
        <w:t>______________________________________________________________________________</w:t>
      </w:r>
    </w:p>
    <w:p w14:paraId="498D8D97" w14:textId="77777777" w:rsidR="009F3C68" w:rsidRDefault="009F3C68" w:rsidP="009F3C68"/>
    <w:p w14:paraId="4ECF1A56" w14:textId="63B2FABD" w:rsidR="009A5754" w:rsidRDefault="009A5754" w:rsidP="009F3C68">
      <w:pPr>
        <w:rPr>
          <w:b/>
        </w:rPr>
      </w:pPr>
      <w:r>
        <w:rPr>
          <w:b/>
        </w:rPr>
        <w:t>Increase in Homeownership Subsidies</w:t>
      </w:r>
    </w:p>
    <w:p w14:paraId="644A1055" w14:textId="03F38C11" w:rsidR="009A5754" w:rsidRPr="009A5754" w:rsidRDefault="009A5754" w:rsidP="009F3C68">
      <w:r>
        <w:t>Taking into consideration the support of the N/NE Oversight Committee, the Mayor has approved a per unit increase in homeownership subsidies from $80,000 to $100,0000 for down payment assistance and up to $125,000 for the development of permanently affordable new construction units.</w:t>
      </w:r>
    </w:p>
    <w:p w14:paraId="6E2D7F64" w14:textId="7E9A7F19" w:rsidR="009A5754" w:rsidRDefault="009A5754" w:rsidP="009F3C68">
      <w:pPr>
        <w:rPr>
          <w:b/>
        </w:rPr>
      </w:pPr>
    </w:p>
    <w:p w14:paraId="335908DC" w14:textId="30FF6E1E" w:rsidR="009A5754" w:rsidRDefault="009A5754" w:rsidP="009A5754">
      <w:pPr>
        <w:rPr>
          <w:b/>
        </w:rPr>
      </w:pPr>
      <w:r w:rsidRPr="009A5754">
        <w:rPr>
          <w:b/>
        </w:rPr>
        <w:t>Additional Homeownership Resources for N/NE Neighborhood Housing Strategy</w:t>
      </w:r>
    </w:p>
    <w:p w14:paraId="523050E9" w14:textId="0BCD1C45" w:rsidR="009A5754" w:rsidRPr="009A5754" w:rsidRDefault="009A5754" w:rsidP="009A5754">
      <w:r>
        <w:t xml:space="preserve">Similarly taking into consideration feedback from the N/NE Oversight Committee, the Mayor has approved the additional resources necessary to maintain the 2015 N/NE Neighborhood Housing Strategy commitment to provide 65 families with affordable </w:t>
      </w:r>
      <w:r w:rsidR="00546000">
        <w:t>homeownership opportunities.  It is estimated that approximately $2 million will be required to accomplish this, provi</w:t>
      </w:r>
      <w:r w:rsidR="002A1354">
        <w:t>ding PCRI with an additional $42</w:t>
      </w:r>
      <w:r w:rsidR="00546000">
        <w:t xml:space="preserve">0,000 and the AAAH Collaborative with an additional $1,580,000.  Additional </w:t>
      </w:r>
      <w:r w:rsidR="003F335F">
        <w:t>resources are anticipated to come from the $7 million of “TIF LIFT” approved by Portland City Council in 2016, detail is included on page 3 of</w:t>
      </w:r>
      <w:r w:rsidR="00546000">
        <w:t xml:space="preserve"> this memo.</w:t>
      </w:r>
    </w:p>
    <w:p w14:paraId="72A41F01" w14:textId="30043EB5" w:rsidR="009A5754" w:rsidRDefault="009A5754" w:rsidP="009F3C68">
      <w:pPr>
        <w:rPr>
          <w:b/>
        </w:rPr>
      </w:pPr>
    </w:p>
    <w:p w14:paraId="673B12E4" w14:textId="35666F2F" w:rsidR="009F3C68" w:rsidRPr="009A5754" w:rsidRDefault="009F3C68" w:rsidP="009F3C68">
      <w:pPr>
        <w:rPr>
          <w:b/>
        </w:rPr>
      </w:pPr>
      <w:r w:rsidRPr="009A5754">
        <w:rPr>
          <w:b/>
        </w:rPr>
        <w:t xml:space="preserve">Request </w:t>
      </w:r>
      <w:r w:rsidR="009A5754" w:rsidRPr="009A5754">
        <w:rPr>
          <w:b/>
        </w:rPr>
        <w:t xml:space="preserve">for </w:t>
      </w:r>
      <w:r w:rsidRPr="009A5754">
        <w:rPr>
          <w:b/>
        </w:rPr>
        <w:t>Funding Shift</w:t>
      </w:r>
    </w:p>
    <w:p w14:paraId="528C0CE5" w14:textId="53490302" w:rsidR="008A0ABA" w:rsidRDefault="000B6A94" w:rsidP="009F3C68">
      <w:r>
        <w:t>The AAAH Collaborative, which in</w:t>
      </w:r>
      <w:r w:rsidR="00F81750">
        <w:t xml:space="preserve">cludes Habitat for Humanity, is </w:t>
      </w:r>
      <w:r>
        <w:t xml:space="preserve">requesting a shift in funding allocations to accommodate development timelines and get households in the current Preference Policy round into </w:t>
      </w:r>
      <w:r w:rsidR="00F81750">
        <w:t>homeownership units as soon as possible</w:t>
      </w:r>
      <w:r>
        <w:t xml:space="preserve">.  </w:t>
      </w:r>
      <w:r w:rsidR="00F81750">
        <w:t>The AAAH Collaborative budgeted resources from its</w:t>
      </w:r>
      <w:r w:rsidR="00B96F5D">
        <w:t xml:space="preserve"> </w:t>
      </w:r>
      <w:r w:rsidR="000A3800">
        <w:t xml:space="preserve">original </w:t>
      </w:r>
      <w:r w:rsidR="00B96F5D">
        <w:t xml:space="preserve">$3,270,000 </w:t>
      </w:r>
      <w:r w:rsidR="00F81750">
        <w:t xml:space="preserve">N/NE Neighborhood Housing Strategy </w:t>
      </w:r>
      <w:r w:rsidR="00B96F5D">
        <w:t xml:space="preserve">allocation </w:t>
      </w:r>
      <w:r w:rsidR="000A3800">
        <w:t>to develop</w:t>
      </w:r>
      <w:r w:rsidR="00B96F5D">
        <w:t xml:space="preserve"> a </w:t>
      </w:r>
      <w:r w:rsidR="008A0ABA">
        <w:t xml:space="preserve">two-phased (12 units and 18 units) </w:t>
      </w:r>
      <w:r w:rsidR="000A3800">
        <w:t xml:space="preserve">affordable homeownership project at Kilpatrick and Interstate. </w:t>
      </w:r>
      <w:r>
        <w:t xml:space="preserve"> </w:t>
      </w:r>
      <w:r w:rsidR="00B96F5D">
        <w:t xml:space="preserve">In the 2017 Winter NOFA, </w:t>
      </w:r>
      <w:r w:rsidR="00246F2C">
        <w:t xml:space="preserve">Habitat for Humanity was awarded $1,500,000 </w:t>
      </w:r>
      <w:r w:rsidR="00B96F5D">
        <w:t xml:space="preserve">in TIF LIFT resources </w:t>
      </w:r>
      <w:r w:rsidR="000A3800">
        <w:t>for the 12-</w:t>
      </w:r>
      <w:r w:rsidR="00246F2C">
        <w:t xml:space="preserve">unit Olin Street Condo project. </w:t>
      </w:r>
    </w:p>
    <w:p w14:paraId="6DAA2FE5" w14:textId="77777777" w:rsidR="008A0ABA" w:rsidRDefault="008A0ABA" w:rsidP="009F3C68"/>
    <w:p w14:paraId="4721BB33" w14:textId="1E04B4FA" w:rsidR="008A0ABA" w:rsidRDefault="000A3800" w:rsidP="009F3C68">
      <w:r>
        <w:t>T</w:t>
      </w:r>
      <w:r w:rsidR="00246F2C">
        <w:t xml:space="preserve">he </w:t>
      </w:r>
      <w:r w:rsidR="008A0ABA">
        <w:t xml:space="preserve">Olin Street Condo </w:t>
      </w:r>
      <w:r w:rsidR="00246F2C">
        <w:t>project will likely be complete and ready for sale to eligible Preference Policy homebuyer b</w:t>
      </w:r>
      <w:r w:rsidR="00B96F5D">
        <w:t>y November 2019</w:t>
      </w:r>
      <w:r>
        <w:t xml:space="preserve">, in advance of the Kilpatrick project referenced above.  </w:t>
      </w:r>
      <w:r w:rsidR="008A0ABA">
        <w:t xml:space="preserve">As such, Habitat for Humanity and </w:t>
      </w:r>
      <w:r w:rsidR="00C954FE">
        <w:t xml:space="preserve">the </w:t>
      </w:r>
      <w:r w:rsidR="008A0ABA">
        <w:t xml:space="preserve">AAAH </w:t>
      </w:r>
      <w:r w:rsidR="00C954FE">
        <w:t xml:space="preserve">Collaborative </w:t>
      </w:r>
      <w:r w:rsidR="008A0ABA">
        <w:t>are jointly requesting to fund the Olin Condo project with N/NE TIF resources allocated to the AAAH Collaborative through the 2015 N/NE Neighborhood Housing Strategy</w:t>
      </w:r>
      <w:r w:rsidR="00F81750">
        <w:t xml:space="preserve">. They are also requesting </w:t>
      </w:r>
      <w:r w:rsidR="008A0ABA">
        <w:t>to</w:t>
      </w:r>
      <w:r w:rsidR="000B6A94">
        <w:t xml:space="preserve"> </w:t>
      </w:r>
      <w:r w:rsidR="00F81750">
        <w:t>use</w:t>
      </w:r>
      <w:r w:rsidR="008A0ABA">
        <w:t xml:space="preserve"> “TIF LIFT” resources allocated to the 12-unit Olin Condo project</w:t>
      </w:r>
      <w:r w:rsidR="00F81750">
        <w:t xml:space="preserve"> in the Winter NOFA</w:t>
      </w:r>
      <w:r w:rsidR="008A0ABA">
        <w:t xml:space="preserve"> to fund the first phase (12 units) of </w:t>
      </w:r>
      <w:r w:rsidR="008A0ABA">
        <w:lastRenderedPageBreak/>
        <w:t>the Kilpatrick project</w:t>
      </w:r>
      <w:r w:rsidR="00C954FE">
        <w:t xml:space="preserve">, effectively swapping resources. </w:t>
      </w:r>
      <w:r w:rsidR="00F81750">
        <w:t xml:space="preserve"> This would leave the second phase of the Kilpatrick project (18 units) needing a funding commitment.   PHB would recommend the N/NE Oversight Committee consider using </w:t>
      </w:r>
      <w:r w:rsidR="00916341">
        <w:t>an allocation of Base Interstate TIF that has been budgeted for homeownership, but is unallocated.</w:t>
      </w:r>
    </w:p>
    <w:p w14:paraId="75D35DEA" w14:textId="77777777" w:rsidR="009F3C68" w:rsidRDefault="009F3C68" w:rsidP="009F3C68">
      <w:pPr>
        <w:rPr>
          <w:sz w:val="22"/>
          <w:szCs w:val="22"/>
        </w:rPr>
      </w:pPr>
    </w:p>
    <w:tbl>
      <w:tblPr>
        <w:tblW w:w="9810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20"/>
        <w:gridCol w:w="1170"/>
        <w:gridCol w:w="3240"/>
        <w:gridCol w:w="3240"/>
      </w:tblGrid>
      <w:tr w:rsidR="009F3C68" w:rsidRPr="00916341" w14:paraId="0A878069" w14:textId="77777777" w:rsidTr="003F335F"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6C335" w14:textId="77777777" w:rsidR="009F3C68" w:rsidRPr="00916341" w:rsidRDefault="009F3C68" w:rsidP="009A5754">
            <w:pPr>
              <w:jc w:val="center"/>
              <w:rPr>
                <w:b/>
                <w:sz w:val="22"/>
                <w:szCs w:val="22"/>
              </w:rPr>
            </w:pPr>
            <w:r w:rsidRPr="00916341">
              <w:rPr>
                <w:b/>
                <w:sz w:val="22"/>
                <w:szCs w:val="22"/>
              </w:rPr>
              <w:t>Project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B4B29" w14:textId="53FD2965" w:rsidR="009F3C68" w:rsidRPr="00916341" w:rsidRDefault="009F3C68" w:rsidP="009A5754">
            <w:pPr>
              <w:jc w:val="center"/>
              <w:rPr>
                <w:b/>
                <w:sz w:val="22"/>
                <w:szCs w:val="22"/>
              </w:rPr>
            </w:pPr>
            <w:r w:rsidRPr="00916341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EF7CE" w14:textId="60622648" w:rsidR="009F3C68" w:rsidRPr="00916341" w:rsidRDefault="009F3C68" w:rsidP="009A5754">
            <w:pPr>
              <w:jc w:val="center"/>
              <w:rPr>
                <w:b/>
                <w:sz w:val="22"/>
                <w:szCs w:val="22"/>
              </w:rPr>
            </w:pPr>
            <w:r w:rsidRPr="00916341">
              <w:rPr>
                <w:b/>
                <w:sz w:val="22"/>
                <w:szCs w:val="22"/>
              </w:rPr>
              <w:t>Funding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BA2FF" w14:textId="0537756A" w:rsidR="009F3C68" w:rsidRPr="00916341" w:rsidRDefault="009F3C68" w:rsidP="009A5754">
            <w:pPr>
              <w:jc w:val="center"/>
              <w:rPr>
                <w:b/>
                <w:sz w:val="22"/>
                <w:szCs w:val="22"/>
              </w:rPr>
            </w:pPr>
            <w:r w:rsidRPr="00916341">
              <w:rPr>
                <w:b/>
                <w:sz w:val="22"/>
                <w:szCs w:val="22"/>
              </w:rPr>
              <w:t>Original Allocation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C2D6" w14:textId="49C6D703" w:rsidR="009F3C68" w:rsidRPr="00916341" w:rsidRDefault="009F3C68" w:rsidP="009A5754">
            <w:pPr>
              <w:jc w:val="center"/>
              <w:rPr>
                <w:b/>
                <w:sz w:val="22"/>
                <w:szCs w:val="22"/>
              </w:rPr>
            </w:pPr>
            <w:r w:rsidRPr="00916341">
              <w:rPr>
                <w:b/>
                <w:sz w:val="22"/>
                <w:szCs w:val="22"/>
              </w:rPr>
              <w:t>Proposed Allocation</w:t>
            </w:r>
          </w:p>
        </w:tc>
      </w:tr>
      <w:tr w:rsidR="009F3C68" w:rsidRPr="00916341" w14:paraId="6CCA5E97" w14:textId="77777777" w:rsidTr="003F335F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E881" w14:textId="5EF162D7" w:rsidR="009F3C68" w:rsidRPr="00916341" w:rsidRDefault="009F3C68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Olin</w:t>
            </w:r>
            <w:r w:rsidR="009E648E">
              <w:rPr>
                <w:sz w:val="22"/>
                <w:szCs w:val="22"/>
              </w:rPr>
              <w:t xml:space="preserve"> Condos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D520" w14:textId="34AF9401" w:rsidR="009F3C68" w:rsidRPr="00916341" w:rsidRDefault="009F3C68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C3C196" w14:textId="037E7957" w:rsidR="009F3C68" w:rsidRPr="00916341" w:rsidRDefault="009A5754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$1,500,000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64B7" w14:textId="66699731" w:rsidR="009F3C68" w:rsidRPr="00916341" w:rsidRDefault="009F3C68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Winter NOFA</w:t>
            </w:r>
            <w:r w:rsidR="00B96F5D" w:rsidRPr="00916341">
              <w:rPr>
                <w:sz w:val="22"/>
                <w:szCs w:val="22"/>
              </w:rPr>
              <w:t xml:space="preserve"> (TIF LIFT)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C81A" w14:textId="0C3CEA2E" w:rsidR="009F3C68" w:rsidRPr="00916341" w:rsidRDefault="009A5754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AAAH Collaborative</w:t>
            </w:r>
            <w:r w:rsidR="00916341">
              <w:rPr>
                <w:sz w:val="22"/>
                <w:szCs w:val="22"/>
              </w:rPr>
              <w:t xml:space="preserve"> (N/NE TIF)</w:t>
            </w:r>
          </w:p>
        </w:tc>
      </w:tr>
      <w:tr w:rsidR="009F3C68" w:rsidRPr="00916341" w14:paraId="226C3D47" w14:textId="77777777" w:rsidTr="003F335F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BC32" w14:textId="77777777" w:rsidR="009F3C68" w:rsidRPr="00916341" w:rsidRDefault="009F3C68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Kirkpatrick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C41" w14:textId="376AD7EA" w:rsidR="009F3C68" w:rsidRPr="00916341" w:rsidRDefault="009F3C68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8EA9FA" w14:textId="2601C138" w:rsidR="009F3C68" w:rsidRPr="00916341" w:rsidRDefault="009A5754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$1,200,000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8F06" w14:textId="0C71BD46" w:rsidR="009F3C68" w:rsidRPr="00916341" w:rsidRDefault="00916341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AAAH Collaborative (N/NE TIF)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B040" w14:textId="7CCFB1D5" w:rsidR="009F3C68" w:rsidRPr="00916341" w:rsidRDefault="00B96F5D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TIF LIFT</w:t>
            </w:r>
          </w:p>
        </w:tc>
      </w:tr>
      <w:tr w:rsidR="009F3C68" w:rsidRPr="00916341" w14:paraId="4BEDB118" w14:textId="77777777" w:rsidTr="003F335F"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7ED9" w14:textId="77777777" w:rsidR="009F3C68" w:rsidRPr="00916341" w:rsidRDefault="009F3C68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Kirkpatrick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D24" w14:textId="210A76A8" w:rsidR="009F3C68" w:rsidRPr="00916341" w:rsidRDefault="009F3C68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18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426177" w14:textId="77BE57AF" w:rsidR="009F3C68" w:rsidRPr="00916341" w:rsidRDefault="009A5754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$1,800,000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0B32" w14:textId="5D05301B" w:rsidR="009F3C68" w:rsidRPr="00916341" w:rsidRDefault="009F3C68" w:rsidP="00916341">
            <w:pPr>
              <w:jc w:val="center"/>
              <w:rPr>
                <w:sz w:val="22"/>
                <w:szCs w:val="22"/>
              </w:rPr>
            </w:pPr>
            <w:r w:rsidRPr="00916341">
              <w:rPr>
                <w:sz w:val="22"/>
                <w:szCs w:val="22"/>
              </w:rPr>
              <w:t>AAAH Collaborative</w:t>
            </w:r>
            <w:r w:rsidR="00916341">
              <w:rPr>
                <w:sz w:val="22"/>
                <w:szCs w:val="22"/>
              </w:rPr>
              <w:t xml:space="preserve"> (N/NE TIF)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5821" w14:textId="0BEF1175" w:rsidR="009F3C68" w:rsidRPr="00916341" w:rsidRDefault="00916341" w:rsidP="00916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 Interstate TIF</w:t>
            </w:r>
          </w:p>
        </w:tc>
      </w:tr>
    </w:tbl>
    <w:p w14:paraId="1AA90108" w14:textId="56C20915" w:rsidR="000A3800" w:rsidRDefault="000A3800" w:rsidP="009F3C68">
      <w:pPr>
        <w:rPr>
          <w:b/>
        </w:rPr>
      </w:pPr>
    </w:p>
    <w:p w14:paraId="25F99637" w14:textId="290AB406" w:rsidR="009F3C68" w:rsidRDefault="00E74592" w:rsidP="009F3C68">
      <w:pPr>
        <w:rPr>
          <w:b/>
        </w:rPr>
      </w:pPr>
      <w:r>
        <w:rPr>
          <w:b/>
        </w:rPr>
        <w:t>Increase in Permanent</w:t>
      </w:r>
      <w:r w:rsidR="009F3C68" w:rsidRPr="00546000">
        <w:rPr>
          <w:b/>
        </w:rPr>
        <w:t xml:space="preserve"> </w:t>
      </w:r>
      <w:r>
        <w:rPr>
          <w:b/>
        </w:rPr>
        <w:t xml:space="preserve">Affordability </w:t>
      </w:r>
    </w:p>
    <w:p w14:paraId="28321866" w14:textId="7C081BDB" w:rsidR="009F3C68" w:rsidRDefault="00546000" w:rsidP="009F3C68">
      <w:bookmarkStart w:id="1" w:name="_Hlk497389942"/>
      <w:r>
        <w:t>An evaluation of the 65 affordable homeownership opportunities currently proposed under the N/NE Neighborhood Housing Strategy indicate</w:t>
      </w:r>
      <w:r w:rsidR="00246F2C">
        <w:t>s</w:t>
      </w:r>
      <w:r>
        <w:t xml:space="preserve"> that 28 of the 65 units (43%) will not be permanently affordable. The balance, 37 units (57%), are planned to remain permanently affordable</w:t>
      </w:r>
      <w:r w:rsidR="000A3800">
        <w:t xml:space="preserve"> for future low-income homebuyers.</w:t>
      </w:r>
      <w:r>
        <w:t xml:space="preserve">  The 2015 N/NE Neighborhood Housing Strategy stated </w:t>
      </w:r>
      <w:r w:rsidR="00DF2CC1">
        <w:t xml:space="preserve">that a minimum of </w:t>
      </w:r>
      <w:r>
        <w:t>30% of all affordable homeownership units would be permanently</w:t>
      </w:r>
      <w:r w:rsidR="00246F2C">
        <w:t xml:space="preserve"> affordable</w:t>
      </w:r>
      <w:r>
        <w:t xml:space="preserve">, the current proposed increase </w:t>
      </w:r>
      <w:r w:rsidR="00DF2CC1">
        <w:t>reflects the very low incomes of current Preference Policy households and that many of the leveraged resources necessary to serve them require permanent affordability.  Additionally, the</w:t>
      </w:r>
      <w:r>
        <w:t xml:space="preserve"> </w:t>
      </w:r>
      <w:r w:rsidR="00DF2CC1">
        <w:t>Olin Street Condo Project was developed as a permanently affordable project and including it in the N/NE Neighborhood Housing Strategy impacts the number of permanently affordable units.</w:t>
      </w:r>
    </w:p>
    <w:bookmarkEnd w:id="1"/>
    <w:p w14:paraId="6B364033" w14:textId="7B6F3A48" w:rsidR="00916341" w:rsidRDefault="00916341">
      <w:r>
        <w:br w:type="page"/>
      </w:r>
    </w:p>
    <w:p w14:paraId="6A4CB78F" w14:textId="0E256926" w:rsidR="00916341" w:rsidRDefault="00916341" w:rsidP="009F3C68">
      <w:pPr>
        <w:rPr>
          <w:sz w:val="20"/>
          <w:szCs w:val="20"/>
        </w:rPr>
      </w:pPr>
      <w:r>
        <w:lastRenderedPageBreak/>
        <w:fldChar w:fldCharType="begin"/>
      </w:r>
      <w:r>
        <w:instrText xml:space="preserve"> LINK </w:instrText>
      </w:r>
      <w:r w:rsidR="00D51C10">
        <w:instrText xml:space="preserve">Excel.Sheet.12 "C:\\Users\\cdandrea\\Desktop\\N-NE 5 Year Project Budget Oversight Committee.xlsx" Sheet1!R1C1:R34C5 </w:instrText>
      </w:r>
      <w:r>
        <w:instrText xml:space="preserve">\a \f 4 \h </w:instrText>
      </w:r>
      <w:r>
        <w:fldChar w:fldCharType="separate"/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3800"/>
        <w:gridCol w:w="1480"/>
        <w:gridCol w:w="1020"/>
        <w:gridCol w:w="1600"/>
        <w:gridCol w:w="1600"/>
      </w:tblGrid>
      <w:tr w:rsidR="00916341" w:rsidRPr="00916341" w14:paraId="25391475" w14:textId="77777777" w:rsidTr="00916341">
        <w:trPr>
          <w:trHeight w:val="315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CCA2" w14:textId="097861CD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PHB Interstate URA Homeownership Funding/Projects</w:t>
            </w:r>
          </w:p>
        </w:tc>
      </w:tr>
      <w:tr w:rsidR="00916341" w:rsidRPr="00916341" w14:paraId="3527B297" w14:textId="77777777" w:rsidTr="00916341">
        <w:trPr>
          <w:trHeight w:val="615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D2896C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Project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EEC190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Funding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84762C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Units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B64D0D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Completion Date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B6C81C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Preference Policy</w:t>
            </w:r>
          </w:p>
        </w:tc>
      </w:tr>
      <w:tr w:rsidR="00916341" w:rsidRPr="00916341" w14:paraId="65FAC99A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0B38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PCRI Townhomes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0FEA3E4F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1,730,000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3CF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B7E23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July 2018 to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78C2D88E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</w:rPr>
              <w:t>Current Preference Policy List</w:t>
            </w:r>
          </w:p>
        </w:tc>
      </w:tr>
      <w:tr w:rsidR="00916341" w:rsidRPr="00916341" w14:paraId="73C726E8" w14:textId="77777777" w:rsidTr="00916341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50943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8F9F"/>
            <w:vAlign w:val="center"/>
            <w:hideMark/>
          </w:tcPr>
          <w:p w14:paraId="7F1133E4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420,000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8E3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BFE6D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July 2019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3CA65E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2561251F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8C6A" w14:textId="228063B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AAAH Proud Ground </w:t>
            </w:r>
            <w:r w:rsidR="009E648E"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Acquisition</w:t>
            </w: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/Rehab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5A139B58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320,000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5AD5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86B62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Complete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DC4573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1C2A0A76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9CFA9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8F9F"/>
            <w:vAlign w:val="center"/>
            <w:hideMark/>
          </w:tcPr>
          <w:p w14:paraId="31003F1E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380,000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8A1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D9450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December 2019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0F833A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752BB7A7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001CC" w14:textId="44117C7F" w:rsidR="00916341" w:rsidRPr="00916341" w:rsidRDefault="009E648E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AAAH Kilpatrick Phase 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8F9F"/>
            <w:vAlign w:val="center"/>
            <w:hideMark/>
          </w:tcPr>
          <w:p w14:paraId="13B1BA0A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DDB0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76A6E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December 2019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9AA800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31F07059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17B17" w14:textId="36CD373D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AAAH Olin</w:t>
            </w:r>
            <w:r w:rsidR="009E648E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Street Condos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6A4BF57F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08A9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74172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June 2019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76643E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2757A935" w14:textId="77777777" w:rsidTr="00916341">
        <w:trPr>
          <w:trHeight w:val="36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2C74B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AAAH Private Developer Townhomes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1B747498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B7DE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FB8E2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December 2018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648BE5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29CCE154" w14:textId="77777777" w:rsidTr="00916341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32800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AAAH DPALS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3922685C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B86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6162C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December 2019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6D5E71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09B7D790" w14:textId="77777777" w:rsidTr="00916341">
        <w:trPr>
          <w:trHeight w:val="33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D29E9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5020 N Interstate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8F9F"/>
            <w:vAlign w:val="center"/>
            <w:hideMark/>
          </w:tcPr>
          <w:p w14:paraId="2C6D93AE" w14:textId="21BC1C93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  <w:r w:rsidR="00D51C10">
              <w:rPr>
                <w:rFonts w:ascii="Calibri" w:eastAsia="Times New Roman" w:hAnsi="Calibri"/>
                <w:color w:val="000000"/>
                <w:sz w:val="22"/>
                <w:szCs w:val="22"/>
              </w:rPr>
              <w:t>,0</w:t>
            </w: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15B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8CD0D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July 2020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222F4005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</w:rPr>
              <w:t>Future Preference Policy Round</w:t>
            </w:r>
          </w:p>
        </w:tc>
      </w:tr>
      <w:tr w:rsidR="00916341" w:rsidRPr="00916341" w14:paraId="00EF1589" w14:textId="77777777" w:rsidTr="00916341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55752" w14:textId="77777777" w:rsidR="00916341" w:rsidRPr="00916341" w:rsidRDefault="00916341" w:rsidP="00916341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Proud Ground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3E4D7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F648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AEA65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EEE0B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17134786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9CDDB" w14:textId="47DAAF0D" w:rsidR="00916341" w:rsidRPr="00916341" w:rsidRDefault="009E648E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Kilpatrick Phase 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FB4764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9DE0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B45FC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June 2020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8A373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1F88D92D" w14:textId="77777777" w:rsidTr="00916341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BA3DD" w14:textId="77777777" w:rsidR="00916341" w:rsidRPr="00916341" w:rsidRDefault="00916341" w:rsidP="00916341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Habitat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A3A5D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DCE7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0389A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825A4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1ED225E3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04998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14398B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3D7F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40D3A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C269D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2061D9CA" w14:textId="77777777" w:rsidTr="00916341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42890" w14:textId="77777777" w:rsidR="00916341" w:rsidRPr="00916341" w:rsidRDefault="00916341" w:rsidP="00916341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Land Acquisition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9517DE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18DB8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69F2B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4E77E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37BC76C7" w14:textId="77777777" w:rsidTr="00916341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CEE86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Unallocated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878A34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F2F1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B960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D900F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916341" w:rsidRPr="00916341" w14:paraId="68CE8C46" w14:textId="77777777" w:rsidTr="00916341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57646" w14:textId="77777777" w:rsidR="00916341" w:rsidRPr="00916341" w:rsidRDefault="00916341" w:rsidP="0091634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74E4C" w14:textId="59787287" w:rsidR="00916341" w:rsidRPr="00916341" w:rsidRDefault="00D51C10" w:rsidP="00916341">
            <w:pPr>
              <w:ind w:firstLineChars="100" w:firstLine="220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    18,500</w:t>
            </w:r>
            <w:r w:rsidR="00916341"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,000 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7E8B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 xml:space="preserve">             143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7888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D1AD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16341" w:rsidRPr="00916341" w14:paraId="0FD1A310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3CA2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FF93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7361" w14:textId="77777777" w:rsidR="00916341" w:rsidRPr="00916341" w:rsidRDefault="00916341" w:rsidP="0091634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4D4C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63B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6341" w:rsidRPr="00916341" w14:paraId="1B4F4712" w14:textId="77777777" w:rsidTr="00916341">
        <w:trPr>
          <w:trHeight w:val="315"/>
        </w:trPr>
        <w:tc>
          <w:tcPr>
            <w:tcW w:w="7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572E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Original N/NE Neighborhood Housing Strategy for Homeownership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6CA7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16341" w:rsidRPr="00916341" w14:paraId="63B10BA7" w14:textId="77777777" w:rsidTr="00916341">
        <w:trPr>
          <w:trHeight w:val="300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4B662F84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PCRI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39BAB7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Funding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3BCB735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Units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0C9F" w14:textId="77777777" w:rsidR="00916341" w:rsidRPr="00916341" w:rsidRDefault="00916341" w:rsidP="00916341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key: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A6A1B95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N/NE TIF</w:t>
            </w:r>
          </w:p>
        </w:tc>
      </w:tr>
      <w:tr w:rsidR="00916341" w:rsidRPr="00916341" w14:paraId="7E605ABC" w14:textId="77777777" w:rsidTr="00916341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EE6C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Scattered Site Townhomes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562A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2,150,000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95430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817E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8F9F"/>
            <w:noWrap/>
            <w:vAlign w:val="bottom"/>
            <w:hideMark/>
          </w:tcPr>
          <w:p w14:paraId="78D78042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TIF LIFT</w:t>
            </w:r>
          </w:p>
        </w:tc>
      </w:tr>
      <w:tr w:rsidR="00916341" w:rsidRPr="00916341" w14:paraId="4358B78D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DAC1" w14:textId="77777777" w:rsidR="00916341" w:rsidRPr="00916341" w:rsidRDefault="00916341" w:rsidP="00916341">
            <w:pPr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Current funding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ECB7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sz w:val="22"/>
                <w:szCs w:val="22"/>
              </w:rPr>
              <w:t>1,730,000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6F0B7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53DB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06B4F3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Base TIF</w:t>
            </w:r>
          </w:p>
        </w:tc>
      </w:tr>
      <w:tr w:rsidR="00916341" w:rsidRPr="00916341" w14:paraId="6EE946EC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67DEE" w14:textId="77777777" w:rsidR="00916341" w:rsidRPr="00916341" w:rsidRDefault="00916341" w:rsidP="00916341">
            <w:pPr>
              <w:jc w:val="right"/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Additional resources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E7E7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420,000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27DF6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EF59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373E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6341" w:rsidRPr="00916341" w14:paraId="7B371427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652C040" w14:textId="77777777" w:rsidR="00916341" w:rsidRPr="00916341" w:rsidRDefault="00916341" w:rsidP="00916341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AAAH Collaborative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A61C1C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Funding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1291353E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Units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418B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7047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6341" w:rsidRPr="00916341" w14:paraId="6C269749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1D7F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Proud Ground homes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5866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8EA91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8848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F032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6341" w:rsidRPr="00916341" w14:paraId="622C5A20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C5BB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Kilpatrick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544E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ADEBF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17E2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126B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6341" w:rsidRPr="00916341" w14:paraId="20F15FB7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73DC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Olin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0E4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DD8DE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A5C6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70B3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6341" w:rsidRPr="00916341" w14:paraId="6B46DFBD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BD67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Montana Townhomes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1506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F63A3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69F5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E50C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6341" w:rsidRPr="00916341" w14:paraId="755424E9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24275" w14:textId="77777777" w:rsidR="00916341" w:rsidRPr="00916341" w:rsidRDefault="00916341" w:rsidP="009163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DPALs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5275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3FEB7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6C66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6E8F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6341" w:rsidRPr="00916341" w14:paraId="138BAC6F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EAFE" w14:textId="77777777" w:rsidR="00916341" w:rsidRPr="00916341" w:rsidRDefault="00916341" w:rsidP="0091634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DEED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4,850,000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FCF9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8BE4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5C7B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6341" w:rsidRPr="00916341" w14:paraId="3F4DC8DA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D851" w14:textId="77777777" w:rsidR="00916341" w:rsidRPr="00916341" w:rsidRDefault="00916341" w:rsidP="00916341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Current Funding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8BE5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3,270,000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09C66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9E1D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AD0E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6341" w:rsidRPr="00916341" w14:paraId="27EAD310" w14:textId="77777777" w:rsidTr="00916341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F3A13" w14:textId="77777777" w:rsidR="00916341" w:rsidRPr="00916341" w:rsidRDefault="00916341" w:rsidP="00916341">
            <w:pPr>
              <w:jc w:val="right"/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Additional resources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AD71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1,580,000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186EB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A80F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1441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16341" w:rsidRPr="00916341" w14:paraId="018CF57B" w14:textId="77777777" w:rsidTr="00916341">
        <w:trPr>
          <w:trHeight w:val="315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FD14B" w14:textId="77777777" w:rsidR="00916341" w:rsidRPr="00916341" w:rsidRDefault="00916341" w:rsidP="00916341">
            <w:pPr>
              <w:jc w:val="right"/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TOTAL ADDITIONAL RESOURCES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D2B32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</w:rPr>
              <w:t>2,000,000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F0E3A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341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CAF1" w14:textId="77777777" w:rsidR="00916341" w:rsidRPr="00916341" w:rsidRDefault="00916341" w:rsidP="00916341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73C4" w14:textId="77777777" w:rsidR="00916341" w:rsidRPr="00916341" w:rsidRDefault="00916341" w:rsidP="009163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51BDF47" w14:textId="33B3A78E" w:rsidR="009F3C68" w:rsidRDefault="00916341" w:rsidP="009F3C68">
      <w:r>
        <w:fldChar w:fldCharType="end"/>
      </w:r>
    </w:p>
    <w:sectPr w:rsidR="009F3C68" w:rsidSect="000A380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296" w:bottom="1440" w:left="1296" w:header="72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C2F55" w14:textId="77777777" w:rsidR="00597EDC" w:rsidRDefault="00597EDC" w:rsidP="0052359F">
      <w:r>
        <w:separator/>
      </w:r>
    </w:p>
  </w:endnote>
  <w:endnote w:type="continuationSeparator" w:id="0">
    <w:p w14:paraId="770F7AF5" w14:textId="77777777" w:rsidR="00597EDC" w:rsidRDefault="00597EDC" w:rsidP="0052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9242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BA3F3" w14:textId="626F39E8" w:rsidR="000B6A94" w:rsidRDefault="000B6A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C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3EBCFC" w14:textId="77777777" w:rsidR="000B6A94" w:rsidRDefault="000B6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3377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4C6FF" w14:textId="7BB559B7" w:rsidR="000B6A94" w:rsidRDefault="000B6A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C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0D192B" w14:textId="77777777" w:rsidR="000B6A94" w:rsidRDefault="000B6A94" w:rsidP="00BB54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CE443" w14:textId="77777777" w:rsidR="00597EDC" w:rsidRDefault="00597EDC" w:rsidP="0052359F">
      <w:r>
        <w:separator/>
      </w:r>
    </w:p>
  </w:footnote>
  <w:footnote w:type="continuationSeparator" w:id="0">
    <w:p w14:paraId="14E844B4" w14:textId="77777777" w:rsidR="00597EDC" w:rsidRDefault="00597EDC" w:rsidP="0052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EB4E" w14:textId="77777777" w:rsidR="000B6A94" w:rsidRDefault="000B6A94" w:rsidP="004B6815">
    <w:pPr>
      <w:pStyle w:val="Header"/>
      <w:tabs>
        <w:tab w:val="clear" w:pos="4320"/>
        <w:tab w:val="clear" w:pos="8640"/>
        <w:tab w:val="left" w:pos="22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5A53" w14:textId="77777777" w:rsidR="000B6A94" w:rsidRDefault="000B6A94" w:rsidP="00367463">
    <w:pPr>
      <w:pStyle w:val="Header"/>
      <w:jc w:val="right"/>
    </w:pPr>
    <w:r>
      <w:rPr>
        <w:noProof/>
      </w:rPr>
      <w:drawing>
        <wp:anchor distT="0" distB="685800" distL="114300" distR="114300" simplePos="0" relativeHeight="251658240" behindDoc="0" locked="0" layoutInCell="1" allowOverlap="1" wp14:anchorId="6486974E" wp14:editId="1A677F41">
          <wp:simplePos x="0" y="0"/>
          <wp:positionH relativeFrom="page">
            <wp:align>center</wp:align>
          </wp:positionH>
          <wp:positionV relativeFrom="paragraph">
            <wp:posOffset>5024</wp:posOffset>
          </wp:positionV>
          <wp:extent cx="6373368" cy="877824"/>
          <wp:effectExtent l="0" t="0" r="2540" b="1143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3368" cy="877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464"/>
    <w:multiLevelType w:val="hybridMultilevel"/>
    <w:tmpl w:val="9C24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07E2"/>
    <w:multiLevelType w:val="hybridMultilevel"/>
    <w:tmpl w:val="5466502A"/>
    <w:lvl w:ilvl="0" w:tplc="650ABA0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51710"/>
    <w:multiLevelType w:val="hybridMultilevel"/>
    <w:tmpl w:val="04A230E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8D4396"/>
    <w:multiLevelType w:val="multilevel"/>
    <w:tmpl w:val="22D2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8350F"/>
    <w:multiLevelType w:val="multilevel"/>
    <w:tmpl w:val="4DC62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7A586D"/>
    <w:multiLevelType w:val="multilevel"/>
    <w:tmpl w:val="696E19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F00B1"/>
    <w:multiLevelType w:val="hybridMultilevel"/>
    <w:tmpl w:val="696E1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5672E0"/>
    <w:multiLevelType w:val="hybridMultilevel"/>
    <w:tmpl w:val="80547B90"/>
    <w:lvl w:ilvl="0" w:tplc="E6865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40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A6D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EB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82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EA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06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27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C3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150152"/>
    <w:multiLevelType w:val="hybridMultilevel"/>
    <w:tmpl w:val="C12C4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B7EEC"/>
    <w:multiLevelType w:val="multilevel"/>
    <w:tmpl w:val="5466502A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D131DA"/>
    <w:multiLevelType w:val="hybridMultilevel"/>
    <w:tmpl w:val="C866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91C32"/>
    <w:multiLevelType w:val="hybridMultilevel"/>
    <w:tmpl w:val="4DC625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463027"/>
    <w:multiLevelType w:val="hybridMultilevel"/>
    <w:tmpl w:val="E92A8D4C"/>
    <w:lvl w:ilvl="0" w:tplc="8974ABC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F54833"/>
    <w:multiLevelType w:val="hybridMultilevel"/>
    <w:tmpl w:val="5248FF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036B3C"/>
    <w:multiLevelType w:val="multilevel"/>
    <w:tmpl w:val="3D2E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3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  <w:num w:numId="12">
    <w:abstractNumId w:val="9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C3"/>
    <w:rsid w:val="000042D2"/>
    <w:rsid w:val="0001362A"/>
    <w:rsid w:val="00036E8B"/>
    <w:rsid w:val="0004603E"/>
    <w:rsid w:val="0005293A"/>
    <w:rsid w:val="00055FFE"/>
    <w:rsid w:val="00074AA1"/>
    <w:rsid w:val="000A3800"/>
    <w:rsid w:val="000B6A94"/>
    <w:rsid w:val="000B79C8"/>
    <w:rsid w:val="000D2734"/>
    <w:rsid w:val="000F60D1"/>
    <w:rsid w:val="00110E7C"/>
    <w:rsid w:val="00113644"/>
    <w:rsid w:val="001439EE"/>
    <w:rsid w:val="001545C0"/>
    <w:rsid w:val="0015630A"/>
    <w:rsid w:val="0017521D"/>
    <w:rsid w:val="00180DB9"/>
    <w:rsid w:val="00191455"/>
    <w:rsid w:val="001B326E"/>
    <w:rsid w:val="001B6CC8"/>
    <w:rsid w:val="001C3DE3"/>
    <w:rsid w:val="001C7B88"/>
    <w:rsid w:val="001C7CAC"/>
    <w:rsid w:val="001D1EB3"/>
    <w:rsid w:val="001F2EF1"/>
    <w:rsid w:val="00204935"/>
    <w:rsid w:val="00205F66"/>
    <w:rsid w:val="00232FDB"/>
    <w:rsid w:val="00246F2C"/>
    <w:rsid w:val="00254B36"/>
    <w:rsid w:val="00257CE6"/>
    <w:rsid w:val="00273AA5"/>
    <w:rsid w:val="00275B05"/>
    <w:rsid w:val="002A1354"/>
    <w:rsid w:val="002B3B13"/>
    <w:rsid w:val="002B5B2F"/>
    <w:rsid w:val="002C7356"/>
    <w:rsid w:val="002D18F2"/>
    <w:rsid w:val="002D3C13"/>
    <w:rsid w:val="002F0D1C"/>
    <w:rsid w:val="00302850"/>
    <w:rsid w:val="00310880"/>
    <w:rsid w:val="0033470E"/>
    <w:rsid w:val="00340C23"/>
    <w:rsid w:val="00367463"/>
    <w:rsid w:val="00393E77"/>
    <w:rsid w:val="003A57F2"/>
    <w:rsid w:val="003C42F1"/>
    <w:rsid w:val="003F335F"/>
    <w:rsid w:val="00401274"/>
    <w:rsid w:val="00410176"/>
    <w:rsid w:val="00415189"/>
    <w:rsid w:val="004160E0"/>
    <w:rsid w:val="00444344"/>
    <w:rsid w:val="004629B5"/>
    <w:rsid w:val="00475F17"/>
    <w:rsid w:val="0048704B"/>
    <w:rsid w:val="004950EC"/>
    <w:rsid w:val="004A3264"/>
    <w:rsid w:val="004A616F"/>
    <w:rsid w:val="004B6815"/>
    <w:rsid w:val="004C452C"/>
    <w:rsid w:val="004C5AA7"/>
    <w:rsid w:val="004F1639"/>
    <w:rsid w:val="004F451E"/>
    <w:rsid w:val="00511370"/>
    <w:rsid w:val="0052359F"/>
    <w:rsid w:val="0052636D"/>
    <w:rsid w:val="00545ACE"/>
    <w:rsid w:val="00546000"/>
    <w:rsid w:val="00564341"/>
    <w:rsid w:val="00571935"/>
    <w:rsid w:val="0059228C"/>
    <w:rsid w:val="005938DB"/>
    <w:rsid w:val="00593942"/>
    <w:rsid w:val="00596BB9"/>
    <w:rsid w:val="00597EDC"/>
    <w:rsid w:val="005A1AAA"/>
    <w:rsid w:val="005A6854"/>
    <w:rsid w:val="005B32B5"/>
    <w:rsid w:val="005E0D49"/>
    <w:rsid w:val="005E644C"/>
    <w:rsid w:val="006332E4"/>
    <w:rsid w:val="006377A7"/>
    <w:rsid w:val="00656937"/>
    <w:rsid w:val="00673D4E"/>
    <w:rsid w:val="00681263"/>
    <w:rsid w:val="006914DB"/>
    <w:rsid w:val="00693D61"/>
    <w:rsid w:val="00697DF9"/>
    <w:rsid w:val="006A2CC3"/>
    <w:rsid w:val="007011BE"/>
    <w:rsid w:val="0072045C"/>
    <w:rsid w:val="00734BEA"/>
    <w:rsid w:val="007350BD"/>
    <w:rsid w:val="00737A90"/>
    <w:rsid w:val="00743058"/>
    <w:rsid w:val="007753A9"/>
    <w:rsid w:val="00781465"/>
    <w:rsid w:val="00781DD5"/>
    <w:rsid w:val="007A4137"/>
    <w:rsid w:val="007B6818"/>
    <w:rsid w:val="007E725B"/>
    <w:rsid w:val="007F7F5D"/>
    <w:rsid w:val="00815AE7"/>
    <w:rsid w:val="00816F3C"/>
    <w:rsid w:val="0082051A"/>
    <w:rsid w:val="00833E07"/>
    <w:rsid w:val="00850C31"/>
    <w:rsid w:val="0086000C"/>
    <w:rsid w:val="00866C27"/>
    <w:rsid w:val="00867EDF"/>
    <w:rsid w:val="0087030D"/>
    <w:rsid w:val="00873D87"/>
    <w:rsid w:val="00875AA0"/>
    <w:rsid w:val="0088454C"/>
    <w:rsid w:val="008A0ABA"/>
    <w:rsid w:val="008B0687"/>
    <w:rsid w:val="008B3271"/>
    <w:rsid w:val="008F33C8"/>
    <w:rsid w:val="008F5A22"/>
    <w:rsid w:val="009129DD"/>
    <w:rsid w:val="00913460"/>
    <w:rsid w:val="00916341"/>
    <w:rsid w:val="009173F4"/>
    <w:rsid w:val="00926B37"/>
    <w:rsid w:val="00931672"/>
    <w:rsid w:val="00931795"/>
    <w:rsid w:val="00951D11"/>
    <w:rsid w:val="00983423"/>
    <w:rsid w:val="009A11AE"/>
    <w:rsid w:val="009A5754"/>
    <w:rsid w:val="009B00BF"/>
    <w:rsid w:val="009C1BB3"/>
    <w:rsid w:val="009C6166"/>
    <w:rsid w:val="009D15E4"/>
    <w:rsid w:val="009E648E"/>
    <w:rsid w:val="009F3C68"/>
    <w:rsid w:val="00A0613B"/>
    <w:rsid w:val="00A35BE3"/>
    <w:rsid w:val="00A55020"/>
    <w:rsid w:val="00A8630A"/>
    <w:rsid w:val="00A903D6"/>
    <w:rsid w:val="00AB1DFB"/>
    <w:rsid w:val="00AC4F98"/>
    <w:rsid w:val="00AC79C3"/>
    <w:rsid w:val="00AD7385"/>
    <w:rsid w:val="00B079B9"/>
    <w:rsid w:val="00B1491C"/>
    <w:rsid w:val="00B15038"/>
    <w:rsid w:val="00B33418"/>
    <w:rsid w:val="00B460D9"/>
    <w:rsid w:val="00B47A49"/>
    <w:rsid w:val="00B56E79"/>
    <w:rsid w:val="00B63E81"/>
    <w:rsid w:val="00B7456F"/>
    <w:rsid w:val="00B96F5D"/>
    <w:rsid w:val="00BB544E"/>
    <w:rsid w:val="00BB78DD"/>
    <w:rsid w:val="00BC4B35"/>
    <w:rsid w:val="00BC57A2"/>
    <w:rsid w:val="00BD0AC1"/>
    <w:rsid w:val="00BD26A9"/>
    <w:rsid w:val="00BD43A9"/>
    <w:rsid w:val="00BE4A82"/>
    <w:rsid w:val="00C01124"/>
    <w:rsid w:val="00C07411"/>
    <w:rsid w:val="00C33E21"/>
    <w:rsid w:val="00C349AF"/>
    <w:rsid w:val="00C4721F"/>
    <w:rsid w:val="00C47588"/>
    <w:rsid w:val="00C578A9"/>
    <w:rsid w:val="00C92355"/>
    <w:rsid w:val="00C9271F"/>
    <w:rsid w:val="00C954FE"/>
    <w:rsid w:val="00C959DB"/>
    <w:rsid w:val="00C96B17"/>
    <w:rsid w:val="00CA392D"/>
    <w:rsid w:val="00CA6774"/>
    <w:rsid w:val="00CD31A1"/>
    <w:rsid w:val="00CD63CF"/>
    <w:rsid w:val="00CE62D3"/>
    <w:rsid w:val="00CF7C7B"/>
    <w:rsid w:val="00D16566"/>
    <w:rsid w:val="00D248FF"/>
    <w:rsid w:val="00D25D2C"/>
    <w:rsid w:val="00D30158"/>
    <w:rsid w:val="00D45537"/>
    <w:rsid w:val="00D51C10"/>
    <w:rsid w:val="00D61AAD"/>
    <w:rsid w:val="00D7628F"/>
    <w:rsid w:val="00D85259"/>
    <w:rsid w:val="00D95054"/>
    <w:rsid w:val="00DB59B8"/>
    <w:rsid w:val="00DB661F"/>
    <w:rsid w:val="00DC7C7D"/>
    <w:rsid w:val="00DD1BC3"/>
    <w:rsid w:val="00DD3DB6"/>
    <w:rsid w:val="00DF2CC1"/>
    <w:rsid w:val="00E03F7E"/>
    <w:rsid w:val="00E0481D"/>
    <w:rsid w:val="00E1595C"/>
    <w:rsid w:val="00E16066"/>
    <w:rsid w:val="00E222F1"/>
    <w:rsid w:val="00E23AD0"/>
    <w:rsid w:val="00E26962"/>
    <w:rsid w:val="00E647EB"/>
    <w:rsid w:val="00E74592"/>
    <w:rsid w:val="00EA515C"/>
    <w:rsid w:val="00ED7F3B"/>
    <w:rsid w:val="00F51F8F"/>
    <w:rsid w:val="00F55BB1"/>
    <w:rsid w:val="00F61008"/>
    <w:rsid w:val="00F7125C"/>
    <w:rsid w:val="00F81750"/>
    <w:rsid w:val="00FA0725"/>
    <w:rsid w:val="00FA0B67"/>
    <w:rsid w:val="00FA4D91"/>
    <w:rsid w:val="00FA61EF"/>
    <w:rsid w:val="00FB7DA3"/>
    <w:rsid w:val="00FF3402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002828"/>
  <w14:defaultImageDpi w14:val="300"/>
  <w15:docId w15:val="{C2EE09B2-07BB-48E7-8706-E2DF8BD2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91C"/>
    <w:pPr>
      <w:keepNext/>
      <w:keepLines/>
      <w:spacing w:before="480"/>
      <w:outlineLvl w:val="0"/>
    </w:pPr>
    <w:rPr>
      <w:rFonts w:ascii="Calibri" w:eastAsia="MS Gothic" w:hAnsi="Calibri"/>
      <w:bCs/>
      <w:color w:val="075DA6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D5CA6"/>
      <w:sz w:val="32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A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0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EB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1D1EB3"/>
  </w:style>
  <w:style w:type="character" w:styleId="Hyperlink">
    <w:name w:val="Hyperlink"/>
    <w:uiPriority w:val="99"/>
    <w:unhideWhenUsed/>
    <w:rsid w:val="001D1EB3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B1491C"/>
    <w:rPr>
      <w:rFonts w:ascii="Calibri" w:eastAsia="MS Gothic" w:hAnsi="Calibri"/>
      <w:bCs/>
      <w:color w:val="075DA6"/>
      <w:sz w:val="48"/>
      <w:szCs w:val="32"/>
    </w:rPr>
  </w:style>
  <w:style w:type="paragraph" w:styleId="Header">
    <w:name w:val="header"/>
    <w:basedOn w:val="Normal"/>
    <w:link w:val="HeaderChar"/>
    <w:uiPriority w:val="99"/>
    <w:unhideWhenUsed/>
    <w:rsid w:val="0052359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2359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235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359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B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4B36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rsid w:val="00D852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bidi="en-US"/>
    </w:rPr>
  </w:style>
  <w:style w:type="table" w:styleId="TableGrid">
    <w:name w:val="Table Grid"/>
    <w:basedOn w:val="TableNormal"/>
    <w:uiPriority w:val="59"/>
    <w:rsid w:val="00BD26A9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1491C"/>
    <w:rPr>
      <w:rFonts w:asciiTheme="majorHAnsi" w:eastAsiaTheme="majorEastAsia" w:hAnsiTheme="majorHAnsi" w:cstheme="majorBidi"/>
      <w:bCs/>
      <w:color w:val="0D5CA6"/>
      <w:sz w:val="3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5502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BodyTextIndent">
    <w:name w:val="Body Text Indent"/>
    <w:basedOn w:val="Normal"/>
    <w:link w:val="BodyTextIndentChar"/>
    <w:rsid w:val="00BE4A82"/>
    <w:pPr>
      <w:ind w:left="360"/>
    </w:pPr>
    <w:rPr>
      <w:rFonts w:eastAsia="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E4A82"/>
    <w:rPr>
      <w:rFonts w:eastAsia="Times"/>
      <w:sz w:val="24"/>
    </w:rPr>
  </w:style>
  <w:style w:type="paragraph" w:styleId="BodyText2">
    <w:name w:val="Body Text 2"/>
    <w:basedOn w:val="Normal"/>
    <w:link w:val="BodyText2Char"/>
    <w:rsid w:val="00BE4A82"/>
    <w:pPr>
      <w:spacing w:after="120"/>
      <w:ind w:right="-86"/>
    </w:pPr>
    <w:rPr>
      <w:rFonts w:ascii="Arial" w:eastAsia="Times" w:hAnsi="Arial" w:cs="Arial"/>
      <w:b/>
      <w:bCs/>
      <w:color w:val="00000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BE4A82"/>
    <w:rPr>
      <w:rFonts w:ascii="Arial" w:eastAsia="Times" w:hAnsi="Arial" w:cs="Arial"/>
      <w:b/>
      <w:bCs/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26B37"/>
    <w:rPr>
      <w:color w:val="800080" w:themeColor="followedHyperlink"/>
      <w:u w:val="single"/>
    </w:rPr>
  </w:style>
  <w:style w:type="paragraph" w:customStyle="1" w:styleId="FormLine">
    <w:name w:val="Form Line"/>
    <w:basedOn w:val="Normal"/>
    <w:rsid w:val="00F51F8F"/>
    <w:pPr>
      <w:spacing w:after="280"/>
      <w:ind w:right="-86"/>
    </w:pPr>
    <w:rPr>
      <w:rFonts w:eastAsia="Times"/>
      <w:b/>
      <w:color w:val="000000"/>
      <w:szCs w:val="20"/>
    </w:rPr>
  </w:style>
  <w:style w:type="paragraph" w:customStyle="1" w:styleId="BodyCopy">
    <w:name w:val="Body Copy"/>
    <w:basedOn w:val="BodyTextIndent"/>
    <w:link w:val="BodyCopyChar"/>
    <w:qFormat/>
    <w:rsid w:val="00B1491C"/>
    <w:pPr>
      <w:spacing w:after="120" w:line="280" w:lineRule="atLeast"/>
      <w:ind w:left="0"/>
    </w:pPr>
    <w:rPr>
      <w:rFonts w:ascii="Calibri" w:hAnsi="Calibri" w:cs="Arial"/>
      <w:sz w:val="22"/>
      <w:szCs w:val="22"/>
    </w:rPr>
  </w:style>
  <w:style w:type="character" w:customStyle="1" w:styleId="BodyCopyChar">
    <w:name w:val="Body Copy Char"/>
    <w:basedOn w:val="BodyTextIndentChar"/>
    <w:link w:val="BodyCopy"/>
    <w:rsid w:val="00B1491C"/>
    <w:rPr>
      <w:rFonts w:ascii="Calibri" w:eastAsia="Times" w:hAnsi="Calibri" w:cs="Arial"/>
      <w:sz w:val="22"/>
      <w:szCs w:val="22"/>
    </w:rPr>
  </w:style>
  <w:style w:type="paragraph" w:customStyle="1" w:styleId="SUBHEADC">
    <w:name w:val="SUBHEAD C"/>
    <w:basedOn w:val="Normal"/>
    <w:qFormat/>
    <w:rsid w:val="004F451E"/>
    <w:pPr>
      <w:spacing w:before="240" w:line="280" w:lineRule="atLeast"/>
    </w:pPr>
    <w:rPr>
      <w:rFonts w:ascii="Calibri" w:hAnsi="Calibri" w:cs="Arial"/>
      <w:b/>
      <w:color w:val="50B848"/>
      <w:sz w:val="22"/>
      <w:szCs w:val="22"/>
    </w:rPr>
  </w:style>
  <w:style w:type="paragraph" w:customStyle="1" w:styleId="SUBHEADB">
    <w:name w:val="SUBHEAD B"/>
    <w:basedOn w:val="Heading2"/>
    <w:link w:val="SUBHEADBChar"/>
    <w:qFormat/>
    <w:rsid w:val="004F451E"/>
    <w:pPr>
      <w:tabs>
        <w:tab w:val="right" w:pos="8640"/>
      </w:tabs>
      <w:spacing w:before="360" w:after="120" w:line="280" w:lineRule="atLeast"/>
    </w:pPr>
    <w:rPr>
      <w:color w:val="075DA6"/>
    </w:rPr>
  </w:style>
  <w:style w:type="character" w:customStyle="1" w:styleId="SUBHEADBChar">
    <w:name w:val="SUBHEAD B Char"/>
    <w:basedOn w:val="Heading2Char"/>
    <w:link w:val="SUBHEADB"/>
    <w:rsid w:val="004F451E"/>
    <w:rPr>
      <w:rFonts w:asciiTheme="majorHAnsi" w:eastAsiaTheme="majorEastAsia" w:hAnsiTheme="majorHAnsi" w:cstheme="majorBidi"/>
      <w:bCs/>
      <w:color w:val="075DA6"/>
      <w:sz w:val="32"/>
      <w:szCs w:val="26"/>
    </w:rPr>
  </w:style>
  <w:style w:type="character" w:customStyle="1" w:styleId="BODYCOPY0">
    <w:name w:val="BODY COPY"/>
    <w:basedOn w:val="DefaultParagraphFont"/>
    <w:link w:val="BODYCOPYPara"/>
    <w:uiPriority w:val="1"/>
    <w:qFormat/>
    <w:rsid w:val="00E1595C"/>
    <w:rPr>
      <w:color w:val="auto"/>
      <w:sz w:val="22"/>
      <w:szCs w:val="22"/>
    </w:rPr>
  </w:style>
  <w:style w:type="paragraph" w:customStyle="1" w:styleId="BODYCOPYPara">
    <w:name w:val="BODY COPY Para"/>
    <w:basedOn w:val="Normal"/>
    <w:link w:val="BODYCOPY0"/>
    <w:uiPriority w:val="1"/>
    <w:rsid w:val="00E1595C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E6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2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2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2D3"/>
    <w:rPr>
      <w:b/>
      <w:bCs/>
    </w:rPr>
  </w:style>
  <w:style w:type="paragraph" w:styleId="ListParagraph">
    <w:name w:val="List Paragraph"/>
    <w:basedOn w:val="Normal"/>
    <w:uiPriority w:val="34"/>
    <w:qFormat/>
    <w:rsid w:val="009F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3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andrea\Desktop\Homeownership%205%20Year%20Forecast%20Cover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C49AC6-94A6-41B0-AA8C-9DFFA3E9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Homeownership 5 Year Forecast Cover Memo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Matthiessen, Andrea</dc:creator>
  <cp:keywords/>
  <dc:description/>
  <cp:lastModifiedBy>Matthiessen, Andrea</cp:lastModifiedBy>
  <cp:revision>2</cp:revision>
  <cp:lastPrinted>2017-10-31T19:41:00Z</cp:lastPrinted>
  <dcterms:created xsi:type="dcterms:W3CDTF">2017-11-06T19:48:00Z</dcterms:created>
  <dcterms:modified xsi:type="dcterms:W3CDTF">2017-11-06T19:48:00Z</dcterms:modified>
</cp:coreProperties>
</file>