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2A9F" w:rsidRPr="00595F9E" w:rsidRDefault="00D32A9F" w:rsidP="00C00161">
      <w:pPr>
        <w:jc w:val="center"/>
        <w:rPr>
          <w:b/>
          <w:sz w:val="28"/>
          <w:szCs w:val="24"/>
        </w:rPr>
      </w:pPr>
      <w:r w:rsidRPr="00595F9E">
        <w:rPr>
          <w:b/>
          <w:sz w:val="28"/>
          <w:szCs w:val="24"/>
        </w:rPr>
        <w:t>PHB FY 201</w:t>
      </w:r>
      <w:r w:rsidR="00B66838" w:rsidRPr="00595F9E">
        <w:rPr>
          <w:b/>
          <w:sz w:val="28"/>
          <w:szCs w:val="24"/>
        </w:rPr>
        <w:t>5</w:t>
      </w:r>
      <w:r w:rsidRPr="00595F9E">
        <w:rPr>
          <w:b/>
          <w:sz w:val="28"/>
          <w:szCs w:val="24"/>
        </w:rPr>
        <w:t>-1</w:t>
      </w:r>
      <w:r w:rsidR="00B66838" w:rsidRPr="00595F9E">
        <w:rPr>
          <w:b/>
          <w:sz w:val="28"/>
          <w:szCs w:val="24"/>
        </w:rPr>
        <w:t>6</w:t>
      </w:r>
      <w:r w:rsidRPr="00595F9E">
        <w:rPr>
          <w:b/>
          <w:sz w:val="28"/>
          <w:szCs w:val="24"/>
        </w:rPr>
        <w:t xml:space="preserve"> Budget – Requested General Fund Decision Packages</w:t>
      </w:r>
      <w:r w:rsidR="00F37938" w:rsidRPr="00595F9E">
        <w:rPr>
          <w:b/>
          <w:sz w:val="28"/>
          <w:szCs w:val="24"/>
        </w:rPr>
        <w:t xml:space="preserve"> (DRAFT)</w:t>
      </w:r>
    </w:p>
    <w:tbl>
      <w:tblPr>
        <w:tblStyle w:val="TableGrid"/>
        <w:tblW w:w="13950" w:type="dxa"/>
        <w:tblInd w:w="-522" w:type="dxa"/>
        <w:tblLook w:val="04A0" w:firstRow="1" w:lastRow="0" w:firstColumn="1" w:lastColumn="0" w:noHBand="0" w:noVBand="1"/>
      </w:tblPr>
      <w:tblGrid>
        <w:gridCol w:w="1907"/>
        <w:gridCol w:w="10161"/>
        <w:gridCol w:w="1882"/>
      </w:tblGrid>
      <w:tr w:rsidR="00D32A9F" w:rsidRPr="00873F90" w:rsidTr="0033615D">
        <w:tc>
          <w:tcPr>
            <w:tcW w:w="1800" w:type="dxa"/>
          </w:tcPr>
          <w:p w:rsidR="00D32A9F" w:rsidRPr="00873F90" w:rsidRDefault="00D32A9F" w:rsidP="00D32A9F">
            <w:pPr>
              <w:jc w:val="center"/>
              <w:rPr>
                <w:b/>
                <w:sz w:val="24"/>
                <w:szCs w:val="24"/>
              </w:rPr>
            </w:pPr>
            <w:r w:rsidRPr="00873F90">
              <w:rPr>
                <w:b/>
                <w:sz w:val="24"/>
                <w:szCs w:val="24"/>
              </w:rPr>
              <w:t>Name</w:t>
            </w:r>
          </w:p>
        </w:tc>
        <w:tc>
          <w:tcPr>
            <w:tcW w:w="10260" w:type="dxa"/>
          </w:tcPr>
          <w:p w:rsidR="00D32A9F" w:rsidRPr="00873F90" w:rsidRDefault="00D32A9F" w:rsidP="00D32A9F">
            <w:pPr>
              <w:jc w:val="center"/>
              <w:rPr>
                <w:b/>
                <w:sz w:val="24"/>
                <w:szCs w:val="24"/>
              </w:rPr>
            </w:pPr>
            <w:r w:rsidRPr="00873F90">
              <w:rPr>
                <w:b/>
                <w:sz w:val="24"/>
                <w:szCs w:val="24"/>
              </w:rPr>
              <w:t>Description</w:t>
            </w:r>
          </w:p>
        </w:tc>
        <w:tc>
          <w:tcPr>
            <w:tcW w:w="1890" w:type="dxa"/>
          </w:tcPr>
          <w:p w:rsidR="00D32A9F" w:rsidRPr="00873F90" w:rsidRDefault="00D32A9F" w:rsidP="00D32A9F">
            <w:pPr>
              <w:jc w:val="center"/>
              <w:rPr>
                <w:b/>
                <w:sz w:val="24"/>
                <w:szCs w:val="24"/>
              </w:rPr>
            </w:pPr>
            <w:r w:rsidRPr="00873F90">
              <w:rPr>
                <w:b/>
                <w:sz w:val="24"/>
                <w:szCs w:val="24"/>
              </w:rPr>
              <w:t>Amount</w:t>
            </w:r>
          </w:p>
        </w:tc>
      </w:tr>
      <w:tr w:rsidR="002C6078" w:rsidRPr="00873F90" w:rsidTr="0033615D">
        <w:tc>
          <w:tcPr>
            <w:tcW w:w="1800" w:type="dxa"/>
          </w:tcPr>
          <w:p w:rsidR="002C6078" w:rsidRPr="00873F90" w:rsidRDefault="002C6078" w:rsidP="00446127">
            <w:pPr>
              <w:jc w:val="center"/>
              <w:rPr>
                <w:b/>
                <w:sz w:val="24"/>
                <w:szCs w:val="24"/>
              </w:rPr>
            </w:pPr>
            <w:r w:rsidRPr="00873F90">
              <w:rPr>
                <w:b/>
                <w:sz w:val="24"/>
                <w:szCs w:val="24"/>
              </w:rPr>
              <w:t>Equity and Complete Neighborhoods: North/Northeast Portland Ownership Retention Program</w:t>
            </w:r>
          </w:p>
        </w:tc>
        <w:tc>
          <w:tcPr>
            <w:tcW w:w="10260" w:type="dxa"/>
          </w:tcPr>
          <w:p w:rsidR="004E1D00" w:rsidRPr="00873F90" w:rsidRDefault="004E1D00" w:rsidP="004E1D00">
            <w:pPr>
              <w:rPr>
                <w:rFonts w:eastAsia="Times New Roman"/>
                <w:color w:val="000000"/>
                <w:sz w:val="24"/>
                <w:szCs w:val="24"/>
              </w:rPr>
            </w:pPr>
            <w:r w:rsidRPr="00873F90">
              <w:rPr>
                <w:rFonts w:eastAsia="Times New Roman"/>
                <w:b/>
                <w:color w:val="000000"/>
                <w:sz w:val="24"/>
                <w:szCs w:val="24"/>
              </w:rPr>
              <w:t>Home Retention</w:t>
            </w:r>
          </w:p>
          <w:p w:rsidR="004E1D00" w:rsidRPr="00873F90" w:rsidRDefault="004E1D00" w:rsidP="004E1D00">
            <w:pPr>
              <w:rPr>
                <w:rFonts w:eastAsia="Times New Roman"/>
                <w:color w:val="000000"/>
                <w:sz w:val="24"/>
                <w:szCs w:val="24"/>
              </w:rPr>
            </w:pPr>
            <w:r w:rsidRPr="00873F90">
              <w:rPr>
                <w:rFonts w:eastAsia="Times New Roman"/>
                <w:color w:val="000000"/>
                <w:sz w:val="24"/>
                <w:szCs w:val="24"/>
              </w:rPr>
              <w:t>70 homeowners, $1,6</w:t>
            </w:r>
            <w:r w:rsidRPr="00873F90">
              <w:rPr>
                <w:rFonts w:eastAsia="Times New Roman"/>
                <w:color w:val="000000"/>
                <w:sz w:val="24"/>
                <w:szCs w:val="24"/>
              </w:rPr>
              <w:t>0</w:t>
            </w:r>
            <w:r w:rsidRPr="00873F90">
              <w:rPr>
                <w:rFonts w:eastAsia="Times New Roman"/>
                <w:color w:val="000000"/>
                <w:sz w:val="24"/>
                <w:szCs w:val="24"/>
              </w:rPr>
              <w:t xml:space="preserve">0,000.   ​​One of the most urgent needs expressed was to retain current homeowners. Our community based partners have effective programs in place to do so, and PHB has a stack of applications that qualify but we can't fund because their home sits outside the URA boundary. This package will expand the existing program, </w:t>
            </w:r>
            <w:r w:rsidR="00943669">
              <w:rPr>
                <w:rFonts w:eastAsia="Times New Roman"/>
                <w:color w:val="000000"/>
                <w:sz w:val="24"/>
                <w:szCs w:val="24"/>
              </w:rPr>
              <w:t>at least</w:t>
            </w:r>
            <w:bookmarkStart w:id="0" w:name="_GoBack"/>
            <w:bookmarkEnd w:id="0"/>
            <w:r w:rsidR="00943669">
              <w:rPr>
                <w:rFonts w:eastAsia="Times New Roman"/>
                <w:color w:val="000000"/>
                <w:sz w:val="24"/>
                <w:szCs w:val="24"/>
              </w:rPr>
              <w:t xml:space="preserve"> 2</w:t>
            </w:r>
            <w:r w:rsidR="006D60DC">
              <w:rPr>
                <w:rFonts w:eastAsia="Times New Roman"/>
                <w:color w:val="000000"/>
                <w:sz w:val="24"/>
                <w:szCs w:val="24"/>
              </w:rPr>
              <w:t>0</w:t>
            </w:r>
            <w:r w:rsidRPr="00873F90">
              <w:rPr>
                <w:rFonts w:eastAsia="Times New Roman"/>
                <w:color w:val="000000"/>
                <w:sz w:val="24"/>
                <w:szCs w:val="24"/>
              </w:rPr>
              <w:t xml:space="preserve"> zero interest loans of</w:t>
            </w:r>
            <w:r w:rsidR="00267253">
              <w:rPr>
                <w:rFonts w:eastAsia="Times New Roman"/>
                <w:color w:val="000000"/>
                <w:sz w:val="24"/>
                <w:szCs w:val="24"/>
              </w:rPr>
              <w:t xml:space="preserve"> up to</w:t>
            </w:r>
            <w:r w:rsidR="00480347">
              <w:rPr>
                <w:rFonts w:eastAsia="Times New Roman"/>
                <w:color w:val="000000"/>
                <w:sz w:val="24"/>
                <w:szCs w:val="24"/>
              </w:rPr>
              <w:t xml:space="preserve"> $4</w:t>
            </w:r>
            <w:r w:rsidRPr="00873F90">
              <w:rPr>
                <w:rFonts w:eastAsia="Times New Roman"/>
                <w:color w:val="000000"/>
                <w:sz w:val="24"/>
                <w:szCs w:val="24"/>
              </w:rPr>
              <w:t xml:space="preserve">0,000 each for critical repairs to roofs, foundations, and other costs. </w:t>
            </w:r>
          </w:p>
          <w:p w:rsidR="004E1D00" w:rsidRPr="00873F90" w:rsidRDefault="004E1D00" w:rsidP="004E1D00">
            <w:pPr>
              <w:rPr>
                <w:rFonts w:eastAsia="Times New Roman"/>
                <w:color w:val="000000"/>
                <w:sz w:val="24"/>
                <w:szCs w:val="24"/>
              </w:rPr>
            </w:pPr>
          </w:p>
          <w:p w:rsidR="002C6078" w:rsidRPr="00873F90" w:rsidRDefault="004E1D00" w:rsidP="004E1D00">
            <w:pPr>
              <w:rPr>
                <w:sz w:val="24"/>
                <w:szCs w:val="24"/>
              </w:rPr>
            </w:pPr>
            <w:r w:rsidRPr="00873F90">
              <w:rPr>
                <w:rFonts w:eastAsia="Times New Roman"/>
                <w:color w:val="000000"/>
                <w:sz w:val="24"/>
                <w:szCs w:val="24"/>
              </w:rPr>
              <w:t>In addition, it will pilot a new category of assistance identified by the community and partners as high need but not TIF eligible. Many existing homeowners face challenges in keeping their homes that they don't have the means or information to successfully navigate including difficulty passing homes to the next generation, accessing refinancing options appropriate for them, or getting behind or not understanding expenses like utilities, property taxes, and other non-building related costs. With $15,000 available per homeowner and $100,000 available to organizations to leverage the required staff, 50 homeowners could be served. </w:t>
            </w:r>
          </w:p>
        </w:tc>
        <w:tc>
          <w:tcPr>
            <w:tcW w:w="1890" w:type="dxa"/>
          </w:tcPr>
          <w:p w:rsidR="002C6078" w:rsidRPr="00873F90" w:rsidRDefault="002C6078" w:rsidP="00267253">
            <w:pPr>
              <w:jc w:val="right"/>
              <w:rPr>
                <w:sz w:val="24"/>
                <w:szCs w:val="24"/>
              </w:rPr>
            </w:pPr>
            <w:r w:rsidRPr="00873F90">
              <w:rPr>
                <w:sz w:val="24"/>
                <w:szCs w:val="24"/>
              </w:rPr>
              <w:t>$1,6</w:t>
            </w:r>
            <w:r w:rsidR="00267253">
              <w:rPr>
                <w:sz w:val="24"/>
                <w:szCs w:val="24"/>
              </w:rPr>
              <w:t>5</w:t>
            </w:r>
            <w:r w:rsidRPr="00873F90">
              <w:rPr>
                <w:sz w:val="24"/>
                <w:szCs w:val="24"/>
              </w:rPr>
              <w:t>0,000</w:t>
            </w:r>
          </w:p>
        </w:tc>
      </w:tr>
      <w:tr w:rsidR="0033615D" w:rsidRPr="00873F90" w:rsidTr="0033615D">
        <w:tc>
          <w:tcPr>
            <w:tcW w:w="1800" w:type="dxa"/>
            <w:hideMark/>
          </w:tcPr>
          <w:p w:rsidR="0033615D" w:rsidRPr="00873F90" w:rsidRDefault="004E1D00">
            <w:pPr>
              <w:jc w:val="center"/>
              <w:rPr>
                <w:b/>
                <w:bCs/>
                <w:sz w:val="24"/>
                <w:szCs w:val="24"/>
              </w:rPr>
            </w:pPr>
            <w:r w:rsidRPr="00873F90">
              <w:rPr>
                <w:b/>
                <w:bCs/>
                <w:sz w:val="24"/>
                <w:szCs w:val="24"/>
              </w:rPr>
              <w:t xml:space="preserve">Equity and </w:t>
            </w:r>
            <w:r w:rsidR="0033615D" w:rsidRPr="00873F90">
              <w:rPr>
                <w:b/>
                <w:bCs/>
                <w:sz w:val="24"/>
                <w:szCs w:val="24"/>
              </w:rPr>
              <w:t>Complete Neighborhoods: Housing Investment Fund</w:t>
            </w:r>
          </w:p>
        </w:tc>
        <w:tc>
          <w:tcPr>
            <w:tcW w:w="10260" w:type="dxa"/>
          </w:tcPr>
          <w:p w:rsidR="004E1D00" w:rsidRPr="00873F90" w:rsidRDefault="004E1D00" w:rsidP="004E1D00">
            <w:pPr>
              <w:shd w:val="clear" w:color="auto" w:fill="FFFFFF"/>
              <w:rPr>
                <w:rFonts w:eastAsia="Times New Roman"/>
                <w:color w:val="000000"/>
                <w:sz w:val="24"/>
                <w:szCs w:val="24"/>
              </w:rPr>
            </w:pPr>
            <w:r w:rsidRPr="00873F90">
              <w:rPr>
                <w:rFonts w:eastAsia="Times New Roman"/>
                <w:b/>
                <w:color w:val="000000"/>
                <w:sz w:val="24"/>
                <w:szCs w:val="24"/>
              </w:rPr>
              <w:t>Opportunity Fund</w:t>
            </w:r>
            <w:r w:rsidRPr="00873F90">
              <w:rPr>
                <w:rFonts w:eastAsia="Times New Roman"/>
                <w:color w:val="000000"/>
                <w:sz w:val="24"/>
                <w:szCs w:val="24"/>
              </w:rPr>
              <w:t xml:space="preserve">. </w:t>
            </w:r>
          </w:p>
          <w:p w:rsidR="004E1D00" w:rsidRPr="00873F90" w:rsidRDefault="004E1D00" w:rsidP="004E1D00">
            <w:pPr>
              <w:shd w:val="clear" w:color="auto" w:fill="FFFFFF"/>
              <w:rPr>
                <w:rFonts w:eastAsia="Times New Roman"/>
                <w:color w:val="000000"/>
                <w:sz w:val="24"/>
                <w:szCs w:val="24"/>
              </w:rPr>
            </w:pPr>
            <w:r w:rsidRPr="00873F90">
              <w:rPr>
                <w:rFonts w:eastAsia="Times New Roman"/>
                <w:color w:val="000000"/>
                <w:sz w:val="24"/>
                <w:szCs w:val="24"/>
              </w:rPr>
              <w:t>$5,000,000. Increase affordable housing and mitigate displacement by having ready funds available for opportunities to purchase or build units at an excellent price or acquire land in rapidly gentrifying neighborhoods.</w:t>
            </w:r>
          </w:p>
          <w:p w:rsidR="0033615D" w:rsidRPr="00873F90" w:rsidRDefault="0033615D">
            <w:pPr>
              <w:rPr>
                <w:sz w:val="24"/>
                <w:szCs w:val="24"/>
              </w:rPr>
            </w:pPr>
          </w:p>
          <w:p w:rsidR="0033615D" w:rsidRPr="00873F90" w:rsidRDefault="0033615D">
            <w:pPr>
              <w:rPr>
                <w:sz w:val="24"/>
                <w:szCs w:val="24"/>
              </w:rPr>
            </w:pPr>
            <w:r w:rsidRPr="00873F90">
              <w:rPr>
                <w:sz w:val="24"/>
                <w:szCs w:val="24"/>
              </w:rPr>
              <w:t xml:space="preserve">Current market conditions continue to </w:t>
            </w:r>
            <w:r w:rsidR="004E1D00" w:rsidRPr="00873F90">
              <w:rPr>
                <w:sz w:val="24"/>
                <w:szCs w:val="24"/>
              </w:rPr>
              <w:t>spur</w:t>
            </w:r>
            <w:r w:rsidRPr="00873F90">
              <w:rPr>
                <w:sz w:val="24"/>
                <w:szCs w:val="24"/>
              </w:rPr>
              <w:t xml:space="preserve"> significant high-end multi-family rental development and rents, especially in close-in neighborhoods, have risen as much as 29%. Year-over-year rent rates throughout Portland have increased by 6.8%. One time funds are an effective way to make a capital investment that provides a minimum of 60 years of housing affordable to low income working families in areas with access to great schools, transportation and fresh food and countering displacement in gentrifying neighborhoods.</w:t>
            </w:r>
          </w:p>
          <w:p w:rsidR="0033615D" w:rsidRPr="00873F90" w:rsidRDefault="0033615D">
            <w:pPr>
              <w:rPr>
                <w:sz w:val="24"/>
                <w:szCs w:val="24"/>
              </w:rPr>
            </w:pPr>
          </w:p>
          <w:p w:rsidR="0033615D" w:rsidRPr="00873F90" w:rsidRDefault="0033615D">
            <w:pPr>
              <w:rPr>
                <w:sz w:val="24"/>
                <w:szCs w:val="24"/>
              </w:rPr>
            </w:pPr>
            <w:r w:rsidRPr="00873F90">
              <w:rPr>
                <w:sz w:val="24"/>
                <w:szCs w:val="24"/>
              </w:rPr>
              <w:t xml:space="preserve">In FY 1994-95 Council allocated an initial $4 million of General Fund discretionary resources over two years to establish the Housing Investment Fund.  In subsequent budgets, further General Fund </w:t>
            </w:r>
            <w:r w:rsidRPr="00873F90">
              <w:rPr>
                <w:sz w:val="24"/>
                <w:szCs w:val="24"/>
              </w:rPr>
              <w:lastRenderedPageBreak/>
              <w:t>discretionary resources were added. These allocations totaled $34.6 million over a five year period. The funds were almost exclusively used for housing development and retention programs.  Understanding the need to continue to invest in affordable housing, last fiscal year Council allocated $1 million for this purpose. </w:t>
            </w:r>
          </w:p>
          <w:p w:rsidR="0033615D" w:rsidRPr="00873F90" w:rsidRDefault="0033615D">
            <w:pPr>
              <w:rPr>
                <w:sz w:val="24"/>
                <w:szCs w:val="24"/>
              </w:rPr>
            </w:pPr>
          </w:p>
          <w:p w:rsidR="0033615D" w:rsidRPr="00873F90" w:rsidRDefault="0033615D">
            <w:pPr>
              <w:rPr>
                <w:sz w:val="24"/>
                <w:szCs w:val="24"/>
              </w:rPr>
            </w:pPr>
            <w:r w:rsidRPr="00873F90">
              <w:rPr>
                <w:sz w:val="24"/>
                <w:szCs w:val="24"/>
              </w:rPr>
              <w:t>As General Fund can be used City-wide, this investment would provide the flexibility to go where both the need and opportunity are greatest, developing Complete Neighborhoods affordable to those the market can’t reach and preventing displacement.  Because of this flexibility, it provides the opportunity to look at different strategies such as new construction, acquisition and rehabilitation or leveraging the current housing market and increase the number of affordable units in targeted areas.  The investment size is scalable. Each $1,000,000 investment would leverage $4,000,000 in other public and private funds and build, rehabilitate or leverage 18 newly affordable units.</w:t>
            </w:r>
          </w:p>
        </w:tc>
        <w:tc>
          <w:tcPr>
            <w:tcW w:w="1890" w:type="dxa"/>
            <w:hideMark/>
          </w:tcPr>
          <w:p w:rsidR="0033615D" w:rsidRPr="00873F90" w:rsidRDefault="0033615D" w:rsidP="00F37938">
            <w:pPr>
              <w:jc w:val="right"/>
              <w:rPr>
                <w:sz w:val="24"/>
                <w:szCs w:val="24"/>
              </w:rPr>
            </w:pPr>
            <w:r w:rsidRPr="00873F90">
              <w:rPr>
                <w:sz w:val="24"/>
                <w:szCs w:val="24"/>
              </w:rPr>
              <w:lastRenderedPageBreak/>
              <w:t xml:space="preserve">$5,000,000 </w:t>
            </w:r>
          </w:p>
        </w:tc>
      </w:tr>
      <w:tr w:rsidR="00F37938" w:rsidRPr="00873F90" w:rsidTr="0033615D">
        <w:tc>
          <w:tcPr>
            <w:tcW w:w="1800" w:type="dxa"/>
          </w:tcPr>
          <w:p w:rsidR="00F37938" w:rsidRPr="00873F90" w:rsidRDefault="00F37938">
            <w:pPr>
              <w:jc w:val="center"/>
              <w:rPr>
                <w:b/>
                <w:bCs/>
                <w:sz w:val="24"/>
                <w:szCs w:val="24"/>
              </w:rPr>
            </w:pPr>
            <w:r w:rsidRPr="00873F90">
              <w:rPr>
                <w:b/>
                <w:bCs/>
                <w:sz w:val="24"/>
                <w:szCs w:val="24"/>
              </w:rPr>
              <w:lastRenderedPageBreak/>
              <w:t>Home for Everyone Coordinating Board</w:t>
            </w:r>
          </w:p>
        </w:tc>
        <w:tc>
          <w:tcPr>
            <w:tcW w:w="10260" w:type="dxa"/>
          </w:tcPr>
          <w:p w:rsidR="004E1D00" w:rsidRPr="00873F90" w:rsidRDefault="004E1D00" w:rsidP="004E1D00">
            <w:pPr>
              <w:shd w:val="clear" w:color="auto" w:fill="FFFFFF"/>
              <w:rPr>
                <w:rFonts w:eastAsia="Times New Roman"/>
                <w:b/>
                <w:color w:val="000000"/>
                <w:sz w:val="24"/>
                <w:szCs w:val="24"/>
              </w:rPr>
            </w:pPr>
            <w:r w:rsidRPr="00873F90">
              <w:rPr>
                <w:rFonts w:eastAsia="Times New Roman"/>
                <w:b/>
                <w:color w:val="000000"/>
                <w:sz w:val="24"/>
                <w:szCs w:val="24"/>
              </w:rPr>
              <w:t>Home for Everyone</w:t>
            </w:r>
          </w:p>
          <w:p w:rsidR="00F37938" w:rsidRPr="00595F9E" w:rsidRDefault="004E1D00" w:rsidP="008745D3">
            <w:pPr>
              <w:shd w:val="clear" w:color="auto" w:fill="FFFFFF"/>
              <w:rPr>
                <w:rFonts w:eastAsia="Times New Roman"/>
                <w:color w:val="000000"/>
                <w:sz w:val="24"/>
                <w:szCs w:val="24"/>
              </w:rPr>
            </w:pPr>
            <w:r w:rsidRPr="00873F90">
              <w:rPr>
                <w:rFonts w:eastAsia="Times New Roman"/>
                <w:color w:val="000000"/>
                <w:sz w:val="24"/>
                <w:szCs w:val="24"/>
              </w:rPr>
              <w:t>$547,296. Support the</w:t>
            </w:r>
            <w:r w:rsidR="008745D3">
              <w:rPr>
                <w:rFonts w:eastAsia="Times New Roman"/>
                <w:color w:val="000000"/>
                <w:sz w:val="24"/>
                <w:szCs w:val="24"/>
              </w:rPr>
              <w:t xml:space="preserve"> Home for Everyone</w:t>
            </w:r>
            <w:r w:rsidRPr="00873F90">
              <w:rPr>
                <w:rFonts w:eastAsia="Times New Roman"/>
                <w:color w:val="000000"/>
                <w:sz w:val="24"/>
                <w:szCs w:val="24"/>
              </w:rPr>
              <w:t xml:space="preserve"> Executive Committee priorities for funding</w:t>
            </w:r>
            <w:r w:rsidRPr="00873F90">
              <w:rPr>
                <w:rFonts w:eastAsia="Times New Roman"/>
                <w:color w:val="000000"/>
                <w:sz w:val="24"/>
                <w:szCs w:val="24"/>
              </w:rPr>
              <w:t> interventions</w:t>
            </w:r>
            <w:r w:rsidRPr="00873F90">
              <w:rPr>
                <w:rFonts w:eastAsia="Times New Roman"/>
                <w:color w:val="000000"/>
                <w:sz w:val="24"/>
                <w:szCs w:val="24"/>
              </w:rPr>
              <w:t xml:space="preserve"> to </w:t>
            </w:r>
            <w:r w:rsidR="00873F90" w:rsidRPr="00873F90">
              <w:rPr>
                <w:rFonts w:eastAsia="Times New Roman"/>
                <w:color w:val="000000"/>
                <w:sz w:val="24"/>
                <w:szCs w:val="24"/>
              </w:rPr>
              <w:t xml:space="preserve">end </w:t>
            </w:r>
            <w:r w:rsidRPr="00873F90">
              <w:rPr>
                <w:rFonts w:eastAsia="Times New Roman"/>
                <w:color w:val="000000"/>
                <w:sz w:val="24"/>
                <w:szCs w:val="24"/>
              </w:rPr>
              <w:t>homelessness, including ending homelessness for disabled veterans</w:t>
            </w:r>
            <w:r w:rsidR="008745D3">
              <w:rPr>
                <w:rFonts w:eastAsia="Times New Roman"/>
                <w:color w:val="000000"/>
                <w:sz w:val="24"/>
                <w:szCs w:val="24"/>
              </w:rPr>
              <w:t>,</w:t>
            </w:r>
            <w:r w:rsidRPr="00873F90">
              <w:rPr>
                <w:rFonts w:eastAsia="Times New Roman"/>
                <w:color w:val="000000"/>
                <w:sz w:val="24"/>
                <w:szCs w:val="24"/>
              </w:rPr>
              <w:t xml:space="preserve"> and a limited term initiative director position. </w:t>
            </w:r>
            <w:r w:rsidR="001A3001" w:rsidRPr="00873F90">
              <w:rPr>
                <w:rFonts w:eastAsia="Times New Roman"/>
                <w:color w:val="000000"/>
                <w:sz w:val="24"/>
                <w:szCs w:val="24"/>
              </w:rPr>
              <w:t>A request for m</w:t>
            </w:r>
            <w:r w:rsidRPr="00873F90">
              <w:rPr>
                <w:rFonts w:eastAsia="Times New Roman"/>
                <w:color w:val="000000"/>
                <w:sz w:val="24"/>
                <w:szCs w:val="24"/>
              </w:rPr>
              <w:t>atch support from Multnomah County</w:t>
            </w:r>
            <w:r w:rsidR="001A3001" w:rsidRPr="00873F90">
              <w:rPr>
                <w:rFonts w:eastAsia="Times New Roman"/>
                <w:color w:val="000000"/>
                <w:sz w:val="24"/>
                <w:szCs w:val="24"/>
              </w:rPr>
              <w:t xml:space="preserve"> is expected</w:t>
            </w:r>
            <w:r w:rsidRPr="00873F90">
              <w:rPr>
                <w:rFonts w:eastAsia="Times New Roman"/>
                <w:color w:val="000000"/>
                <w:sz w:val="24"/>
                <w:szCs w:val="24"/>
              </w:rPr>
              <w:t>.</w:t>
            </w:r>
          </w:p>
        </w:tc>
        <w:tc>
          <w:tcPr>
            <w:tcW w:w="1890" w:type="dxa"/>
          </w:tcPr>
          <w:p w:rsidR="00F37938" w:rsidRPr="00873F90" w:rsidRDefault="00F37938" w:rsidP="004E1D00">
            <w:pPr>
              <w:jc w:val="right"/>
              <w:rPr>
                <w:sz w:val="24"/>
                <w:szCs w:val="24"/>
              </w:rPr>
            </w:pPr>
            <w:r w:rsidRPr="00873F90">
              <w:rPr>
                <w:sz w:val="24"/>
                <w:szCs w:val="24"/>
              </w:rPr>
              <w:t>$</w:t>
            </w:r>
            <w:r w:rsidR="004E1D00" w:rsidRPr="00873F90">
              <w:rPr>
                <w:sz w:val="24"/>
                <w:szCs w:val="24"/>
              </w:rPr>
              <w:t>547</w:t>
            </w:r>
            <w:r w:rsidRPr="00873F90">
              <w:rPr>
                <w:sz w:val="24"/>
                <w:szCs w:val="24"/>
              </w:rPr>
              <w:t>,</w:t>
            </w:r>
            <w:r w:rsidR="004E1D00" w:rsidRPr="00873F90">
              <w:rPr>
                <w:sz w:val="24"/>
                <w:szCs w:val="24"/>
              </w:rPr>
              <w:t>296</w:t>
            </w:r>
          </w:p>
        </w:tc>
      </w:tr>
      <w:tr w:rsidR="004E1D00" w:rsidRPr="00873F90" w:rsidTr="0033615D">
        <w:tc>
          <w:tcPr>
            <w:tcW w:w="1800" w:type="dxa"/>
          </w:tcPr>
          <w:p w:rsidR="004E1D00" w:rsidRPr="00873F90" w:rsidRDefault="004E1D00" w:rsidP="004E1D00">
            <w:pPr>
              <w:jc w:val="center"/>
              <w:rPr>
                <w:b/>
                <w:bCs/>
                <w:sz w:val="24"/>
                <w:szCs w:val="24"/>
              </w:rPr>
            </w:pPr>
            <w:r w:rsidRPr="00873F90">
              <w:rPr>
                <w:b/>
                <w:bCs/>
                <w:sz w:val="24"/>
                <w:szCs w:val="24"/>
              </w:rPr>
              <w:t>Homeless Programs COLA Adjustment</w:t>
            </w:r>
          </w:p>
        </w:tc>
        <w:tc>
          <w:tcPr>
            <w:tcW w:w="10260" w:type="dxa"/>
          </w:tcPr>
          <w:p w:rsidR="004E1D00" w:rsidRPr="00873F90" w:rsidRDefault="004E1D00" w:rsidP="004E1D00">
            <w:pPr>
              <w:shd w:val="clear" w:color="auto" w:fill="FFFFFF"/>
              <w:rPr>
                <w:rFonts w:eastAsia="Times New Roman"/>
                <w:b/>
                <w:color w:val="000000"/>
                <w:sz w:val="24"/>
                <w:szCs w:val="24"/>
              </w:rPr>
            </w:pPr>
            <w:r w:rsidRPr="00873F90">
              <w:rPr>
                <w:rFonts w:eastAsia="Times New Roman"/>
                <w:b/>
                <w:color w:val="000000"/>
                <w:sz w:val="24"/>
                <w:szCs w:val="24"/>
              </w:rPr>
              <w:t>COLA Adjustment Addition: Homeless Programs</w:t>
            </w:r>
          </w:p>
          <w:p w:rsidR="004E1D00" w:rsidRPr="00873F90" w:rsidRDefault="004E1D00" w:rsidP="004E1D00">
            <w:pPr>
              <w:shd w:val="clear" w:color="auto" w:fill="FFFFFF"/>
              <w:rPr>
                <w:rFonts w:eastAsia="Times New Roman"/>
                <w:color w:val="000000"/>
                <w:sz w:val="24"/>
                <w:szCs w:val="24"/>
              </w:rPr>
            </w:pPr>
            <w:r w:rsidRPr="00873F90">
              <w:rPr>
                <w:rFonts w:eastAsia="Times New Roman"/>
                <w:color w:val="000000"/>
                <w:sz w:val="24"/>
                <w:szCs w:val="24"/>
              </w:rPr>
              <w:t>$179,400</w:t>
            </w:r>
            <w:r w:rsidRPr="00873F90">
              <w:rPr>
                <w:rFonts w:eastAsia="Times New Roman"/>
                <w:color w:val="000000"/>
                <w:sz w:val="24"/>
                <w:szCs w:val="24"/>
              </w:rPr>
              <w:t>.</w:t>
            </w:r>
            <w:r w:rsidRPr="00873F90">
              <w:rPr>
                <w:rFonts w:eastAsia="Times New Roman"/>
                <w:color w:val="000000"/>
                <w:sz w:val="24"/>
                <w:szCs w:val="24"/>
              </w:rPr>
              <w:t xml:space="preserve"> Include COLA with Council direction to "add sustainable funding for the Safety Net".</w:t>
            </w:r>
            <w:r w:rsidRPr="00873F90">
              <w:rPr>
                <w:rFonts w:eastAsia="Times New Roman"/>
                <w:color w:val="000000"/>
                <w:sz w:val="24"/>
                <w:szCs w:val="24"/>
              </w:rPr>
              <w:t xml:space="preserve"> </w:t>
            </w:r>
            <w:r w:rsidRPr="00873F90">
              <w:rPr>
                <w:rFonts w:eastAsia="Times New Roman"/>
                <w:color w:val="000000"/>
                <w:sz w:val="24"/>
                <w:szCs w:val="24"/>
              </w:rPr>
              <w:t>The FY 2012-13 Adopted budget included a Budget Note to make previously one-time-only funding for homeless programs on-going, however it did not include directi</w:t>
            </w:r>
            <w:r w:rsidRPr="00873F90">
              <w:rPr>
                <w:rFonts w:eastAsia="Times New Roman"/>
                <w:color w:val="000000"/>
                <w:sz w:val="24"/>
                <w:szCs w:val="24"/>
              </w:rPr>
              <w:t>on on providing a</w:t>
            </w:r>
            <w:r w:rsidRPr="00873F90">
              <w:rPr>
                <w:rFonts w:eastAsia="Times New Roman"/>
                <w:color w:val="000000"/>
                <w:sz w:val="24"/>
                <w:szCs w:val="24"/>
              </w:rPr>
              <w:t xml:space="preserve"> COLA for these funds and CBO has not included one in past budget years, including 2015-16. Over time, the amount of assistance these funds provide will continue to erode and they are treated differently than the rest of the general fund PHB receives for funding homeless programs.</w:t>
            </w:r>
          </w:p>
          <w:p w:rsidR="004E1D00" w:rsidRPr="00873F90" w:rsidRDefault="004E1D00" w:rsidP="004E1D00">
            <w:pPr>
              <w:shd w:val="clear" w:color="auto" w:fill="FFFFFF"/>
              <w:rPr>
                <w:rFonts w:eastAsia="Times New Roman"/>
                <w:b/>
                <w:color w:val="000000"/>
                <w:sz w:val="24"/>
                <w:szCs w:val="24"/>
              </w:rPr>
            </w:pPr>
          </w:p>
          <w:p w:rsidR="004E1D00" w:rsidRPr="00873F90" w:rsidRDefault="004E1D00" w:rsidP="004E1D00">
            <w:pPr>
              <w:shd w:val="clear" w:color="auto" w:fill="FFFFFF"/>
              <w:rPr>
                <w:rFonts w:eastAsia="Times New Roman"/>
                <w:color w:val="000000"/>
                <w:sz w:val="24"/>
                <w:szCs w:val="24"/>
              </w:rPr>
            </w:pPr>
            <w:r w:rsidRPr="00873F90">
              <w:rPr>
                <w:rFonts w:eastAsia="Times New Roman"/>
                <w:b/>
                <w:color w:val="000000"/>
                <w:sz w:val="24"/>
                <w:szCs w:val="24"/>
              </w:rPr>
              <w:t>Required C</w:t>
            </w:r>
            <w:r w:rsidRPr="00873F90">
              <w:rPr>
                <w:rFonts w:eastAsia="Times New Roman"/>
                <w:b/>
                <w:color w:val="000000"/>
                <w:sz w:val="24"/>
                <w:szCs w:val="24"/>
              </w:rPr>
              <w:t xml:space="preserve">ut </w:t>
            </w:r>
            <w:r w:rsidRPr="00873F90">
              <w:rPr>
                <w:rFonts w:eastAsia="Times New Roman"/>
                <w:b/>
                <w:color w:val="000000"/>
                <w:sz w:val="24"/>
                <w:szCs w:val="24"/>
              </w:rPr>
              <w:t>P</w:t>
            </w:r>
            <w:r w:rsidRPr="00873F90">
              <w:rPr>
                <w:rFonts w:eastAsia="Times New Roman"/>
                <w:b/>
                <w:color w:val="000000"/>
                <w:sz w:val="24"/>
                <w:szCs w:val="24"/>
              </w:rPr>
              <w:t>ackage</w:t>
            </w:r>
            <w:r w:rsidRPr="00873F90">
              <w:rPr>
                <w:rFonts w:eastAsia="Times New Roman"/>
                <w:color w:val="000000"/>
                <w:sz w:val="24"/>
                <w:szCs w:val="24"/>
              </w:rPr>
              <w:t xml:space="preserve">: </w:t>
            </w:r>
            <w:r w:rsidRPr="00873F90">
              <w:rPr>
                <w:rFonts w:eastAsia="Times New Roman"/>
                <w:b/>
                <w:color w:val="000000"/>
                <w:sz w:val="24"/>
                <w:szCs w:val="24"/>
              </w:rPr>
              <w:t>Sho</w:t>
            </w:r>
            <w:r w:rsidRPr="00873F90">
              <w:rPr>
                <w:rFonts w:eastAsia="Times New Roman"/>
                <w:b/>
                <w:color w:val="000000"/>
                <w:sz w:val="24"/>
                <w:szCs w:val="24"/>
              </w:rPr>
              <w:t>rt Term Rent Assistance (STRA)</w:t>
            </w:r>
          </w:p>
          <w:p w:rsidR="004E1D00" w:rsidRPr="00873F90" w:rsidRDefault="004E1D00" w:rsidP="004E1D00">
            <w:pPr>
              <w:shd w:val="clear" w:color="auto" w:fill="FFFFFF"/>
              <w:rPr>
                <w:rFonts w:eastAsia="Times New Roman"/>
                <w:color w:val="000000"/>
                <w:sz w:val="24"/>
                <w:szCs w:val="24"/>
              </w:rPr>
            </w:pPr>
            <w:r w:rsidRPr="00873F90">
              <w:rPr>
                <w:rFonts w:eastAsia="Times New Roman"/>
                <w:color w:val="000000"/>
                <w:sz w:val="24"/>
                <w:szCs w:val="24"/>
              </w:rPr>
              <w:t>($179,400). As required, PHB is offering an on-going cut package to balance the on-going add request. Nearly all of the general fund the Bureau receives funds homeless programs. The non-program general fund is spent on fixed costs like the staff required to administer the funds, the building lease, and the Bureau's share of City-wide expenses. STRA funds can be scaled up and down without impacting a host of other programs. 45-90 fewer households will prevent or end their homelessness if this package is accepted.</w:t>
            </w:r>
          </w:p>
        </w:tc>
        <w:tc>
          <w:tcPr>
            <w:tcW w:w="1890" w:type="dxa"/>
          </w:tcPr>
          <w:p w:rsidR="004E1D00" w:rsidRPr="00873F90" w:rsidRDefault="004E1D00" w:rsidP="00F37938">
            <w:pPr>
              <w:jc w:val="right"/>
              <w:rPr>
                <w:sz w:val="24"/>
                <w:szCs w:val="24"/>
              </w:rPr>
            </w:pPr>
          </w:p>
          <w:p w:rsidR="004E1D00" w:rsidRPr="00873F90" w:rsidRDefault="004E1D00" w:rsidP="00F37938">
            <w:pPr>
              <w:jc w:val="right"/>
              <w:rPr>
                <w:sz w:val="24"/>
                <w:szCs w:val="24"/>
              </w:rPr>
            </w:pPr>
            <w:r w:rsidRPr="00873F90">
              <w:rPr>
                <w:sz w:val="24"/>
                <w:szCs w:val="24"/>
              </w:rPr>
              <w:t>$179,400</w:t>
            </w:r>
          </w:p>
          <w:p w:rsidR="004E1D00" w:rsidRPr="00873F90" w:rsidRDefault="004E1D00" w:rsidP="00F37938">
            <w:pPr>
              <w:jc w:val="right"/>
              <w:rPr>
                <w:sz w:val="24"/>
                <w:szCs w:val="24"/>
              </w:rPr>
            </w:pPr>
          </w:p>
          <w:p w:rsidR="004E1D00" w:rsidRPr="00873F90" w:rsidRDefault="004E1D00" w:rsidP="00F37938">
            <w:pPr>
              <w:jc w:val="right"/>
              <w:rPr>
                <w:sz w:val="24"/>
                <w:szCs w:val="24"/>
              </w:rPr>
            </w:pPr>
          </w:p>
          <w:p w:rsidR="004E1D00" w:rsidRPr="00873F90" w:rsidRDefault="004E1D00" w:rsidP="00F37938">
            <w:pPr>
              <w:jc w:val="right"/>
              <w:rPr>
                <w:sz w:val="24"/>
                <w:szCs w:val="24"/>
              </w:rPr>
            </w:pPr>
          </w:p>
          <w:p w:rsidR="004E1D00" w:rsidRPr="00873F90" w:rsidRDefault="004E1D00" w:rsidP="00F37938">
            <w:pPr>
              <w:jc w:val="right"/>
              <w:rPr>
                <w:sz w:val="24"/>
                <w:szCs w:val="24"/>
              </w:rPr>
            </w:pPr>
          </w:p>
          <w:p w:rsidR="004E1D00" w:rsidRPr="00873F90" w:rsidRDefault="004E1D00" w:rsidP="00F37938">
            <w:pPr>
              <w:jc w:val="right"/>
              <w:rPr>
                <w:sz w:val="24"/>
                <w:szCs w:val="24"/>
              </w:rPr>
            </w:pPr>
          </w:p>
          <w:p w:rsidR="004E1D00" w:rsidRPr="00873F90" w:rsidRDefault="004E1D00" w:rsidP="00F37938">
            <w:pPr>
              <w:jc w:val="right"/>
              <w:rPr>
                <w:sz w:val="24"/>
                <w:szCs w:val="24"/>
              </w:rPr>
            </w:pPr>
          </w:p>
          <w:p w:rsidR="004E1D00" w:rsidRPr="00873F90" w:rsidRDefault="004E1D00" w:rsidP="00F37938">
            <w:pPr>
              <w:jc w:val="right"/>
              <w:rPr>
                <w:sz w:val="24"/>
                <w:szCs w:val="24"/>
              </w:rPr>
            </w:pPr>
          </w:p>
          <w:p w:rsidR="004E1D00" w:rsidRPr="00873F90" w:rsidRDefault="004E1D00" w:rsidP="00F37938">
            <w:pPr>
              <w:jc w:val="right"/>
              <w:rPr>
                <w:sz w:val="24"/>
                <w:szCs w:val="24"/>
              </w:rPr>
            </w:pPr>
          </w:p>
          <w:p w:rsidR="004E1D00" w:rsidRPr="00873F90" w:rsidRDefault="004E1D00" w:rsidP="00F37938">
            <w:pPr>
              <w:jc w:val="right"/>
              <w:rPr>
                <w:sz w:val="24"/>
                <w:szCs w:val="24"/>
              </w:rPr>
            </w:pPr>
          </w:p>
          <w:p w:rsidR="004E1D00" w:rsidRPr="00873F90" w:rsidRDefault="004E1D00" w:rsidP="004E1D00">
            <w:pPr>
              <w:jc w:val="right"/>
              <w:rPr>
                <w:sz w:val="24"/>
                <w:szCs w:val="24"/>
              </w:rPr>
            </w:pPr>
            <w:r w:rsidRPr="00873F90">
              <w:rPr>
                <w:sz w:val="24"/>
                <w:szCs w:val="24"/>
              </w:rPr>
              <w:t>$(179,400)</w:t>
            </w:r>
          </w:p>
        </w:tc>
      </w:tr>
    </w:tbl>
    <w:p w:rsidR="00E80EC1" w:rsidRPr="00873F90" w:rsidRDefault="00E80EC1" w:rsidP="00595F9E">
      <w:pPr>
        <w:rPr>
          <w:sz w:val="24"/>
          <w:szCs w:val="24"/>
        </w:rPr>
      </w:pPr>
    </w:p>
    <w:sectPr w:rsidR="00E80EC1" w:rsidRPr="00873F90" w:rsidSect="0076216A">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614ED"/>
    <w:multiLevelType w:val="hybridMultilevel"/>
    <w:tmpl w:val="15B07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4F6118"/>
    <w:multiLevelType w:val="hybridMultilevel"/>
    <w:tmpl w:val="2F10BF32"/>
    <w:lvl w:ilvl="0" w:tplc="04090001">
      <w:start w:val="1"/>
      <w:numFmt w:val="bullet"/>
      <w:lvlText w:val=""/>
      <w:lvlJc w:val="left"/>
      <w:pPr>
        <w:ind w:left="756" w:hanging="360"/>
      </w:pPr>
      <w:rPr>
        <w:rFonts w:ascii="Symbol" w:hAnsi="Symbol"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2">
    <w:nsid w:val="1E7D4E22"/>
    <w:multiLevelType w:val="hybridMultilevel"/>
    <w:tmpl w:val="33E2F0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4D5BCA"/>
    <w:multiLevelType w:val="hybridMultilevel"/>
    <w:tmpl w:val="2FC4D33C"/>
    <w:lvl w:ilvl="0" w:tplc="0409000F">
      <w:start w:val="1"/>
      <w:numFmt w:val="decimal"/>
      <w:lvlText w:val="%1."/>
      <w:lvlJc w:val="left"/>
      <w:pPr>
        <w:ind w:left="759" w:hanging="360"/>
      </w:pPr>
    </w:lvl>
    <w:lvl w:ilvl="1" w:tplc="04090019" w:tentative="1">
      <w:start w:val="1"/>
      <w:numFmt w:val="lowerLetter"/>
      <w:lvlText w:val="%2."/>
      <w:lvlJc w:val="left"/>
      <w:pPr>
        <w:ind w:left="1479" w:hanging="360"/>
      </w:pPr>
    </w:lvl>
    <w:lvl w:ilvl="2" w:tplc="0409001B" w:tentative="1">
      <w:start w:val="1"/>
      <w:numFmt w:val="lowerRoman"/>
      <w:lvlText w:val="%3."/>
      <w:lvlJc w:val="right"/>
      <w:pPr>
        <w:ind w:left="2199" w:hanging="180"/>
      </w:pPr>
    </w:lvl>
    <w:lvl w:ilvl="3" w:tplc="0409000F" w:tentative="1">
      <w:start w:val="1"/>
      <w:numFmt w:val="decimal"/>
      <w:lvlText w:val="%4."/>
      <w:lvlJc w:val="left"/>
      <w:pPr>
        <w:ind w:left="2919" w:hanging="360"/>
      </w:pPr>
    </w:lvl>
    <w:lvl w:ilvl="4" w:tplc="04090019" w:tentative="1">
      <w:start w:val="1"/>
      <w:numFmt w:val="lowerLetter"/>
      <w:lvlText w:val="%5."/>
      <w:lvlJc w:val="left"/>
      <w:pPr>
        <w:ind w:left="3639" w:hanging="360"/>
      </w:pPr>
    </w:lvl>
    <w:lvl w:ilvl="5" w:tplc="0409001B" w:tentative="1">
      <w:start w:val="1"/>
      <w:numFmt w:val="lowerRoman"/>
      <w:lvlText w:val="%6."/>
      <w:lvlJc w:val="right"/>
      <w:pPr>
        <w:ind w:left="4359" w:hanging="180"/>
      </w:pPr>
    </w:lvl>
    <w:lvl w:ilvl="6" w:tplc="0409000F" w:tentative="1">
      <w:start w:val="1"/>
      <w:numFmt w:val="decimal"/>
      <w:lvlText w:val="%7."/>
      <w:lvlJc w:val="left"/>
      <w:pPr>
        <w:ind w:left="5079" w:hanging="360"/>
      </w:pPr>
    </w:lvl>
    <w:lvl w:ilvl="7" w:tplc="04090019" w:tentative="1">
      <w:start w:val="1"/>
      <w:numFmt w:val="lowerLetter"/>
      <w:lvlText w:val="%8."/>
      <w:lvlJc w:val="left"/>
      <w:pPr>
        <w:ind w:left="5799" w:hanging="360"/>
      </w:pPr>
    </w:lvl>
    <w:lvl w:ilvl="8" w:tplc="0409001B" w:tentative="1">
      <w:start w:val="1"/>
      <w:numFmt w:val="lowerRoman"/>
      <w:lvlText w:val="%9."/>
      <w:lvlJc w:val="right"/>
      <w:pPr>
        <w:ind w:left="6519" w:hanging="180"/>
      </w:pPr>
    </w:lvl>
  </w:abstractNum>
  <w:abstractNum w:abstractNumId="4">
    <w:nsid w:val="3588597B"/>
    <w:multiLevelType w:val="hybridMultilevel"/>
    <w:tmpl w:val="183AEE3E"/>
    <w:lvl w:ilvl="0" w:tplc="04090003">
      <w:start w:val="1"/>
      <w:numFmt w:val="bullet"/>
      <w:lvlText w:val="o"/>
      <w:lvlJc w:val="left"/>
      <w:pPr>
        <w:ind w:left="881" w:hanging="360"/>
      </w:pPr>
      <w:rPr>
        <w:rFonts w:ascii="Courier New" w:hAnsi="Courier New" w:cs="Courier New" w:hint="default"/>
      </w:rPr>
    </w:lvl>
    <w:lvl w:ilvl="1" w:tplc="04090003" w:tentative="1">
      <w:start w:val="1"/>
      <w:numFmt w:val="bullet"/>
      <w:lvlText w:val="o"/>
      <w:lvlJc w:val="left"/>
      <w:pPr>
        <w:ind w:left="1601" w:hanging="360"/>
      </w:pPr>
      <w:rPr>
        <w:rFonts w:ascii="Courier New" w:hAnsi="Courier New" w:cs="Courier New" w:hint="default"/>
      </w:rPr>
    </w:lvl>
    <w:lvl w:ilvl="2" w:tplc="04090005" w:tentative="1">
      <w:start w:val="1"/>
      <w:numFmt w:val="bullet"/>
      <w:lvlText w:val=""/>
      <w:lvlJc w:val="left"/>
      <w:pPr>
        <w:ind w:left="2321" w:hanging="360"/>
      </w:pPr>
      <w:rPr>
        <w:rFonts w:ascii="Wingdings" w:hAnsi="Wingdings" w:hint="default"/>
      </w:rPr>
    </w:lvl>
    <w:lvl w:ilvl="3" w:tplc="04090001" w:tentative="1">
      <w:start w:val="1"/>
      <w:numFmt w:val="bullet"/>
      <w:lvlText w:val=""/>
      <w:lvlJc w:val="left"/>
      <w:pPr>
        <w:ind w:left="3041" w:hanging="360"/>
      </w:pPr>
      <w:rPr>
        <w:rFonts w:ascii="Symbol" w:hAnsi="Symbol" w:hint="default"/>
      </w:rPr>
    </w:lvl>
    <w:lvl w:ilvl="4" w:tplc="04090003" w:tentative="1">
      <w:start w:val="1"/>
      <w:numFmt w:val="bullet"/>
      <w:lvlText w:val="o"/>
      <w:lvlJc w:val="left"/>
      <w:pPr>
        <w:ind w:left="3761" w:hanging="360"/>
      </w:pPr>
      <w:rPr>
        <w:rFonts w:ascii="Courier New" w:hAnsi="Courier New" w:cs="Courier New" w:hint="default"/>
      </w:rPr>
    </w:lvl>
    <w:lvl w:ilvl="5" w:tplc="04090005" w:tentative="1">
      <w:start w:val="1"/>
      <w:numFmt w:val="bullet"/>
      <w:lvlText w:val=""/>
      <w:lvlJc w:val="left"/>
      <w:pPr>
        <w:ind w:left="4481" w:hanging="360"/>
      </w:pPr>
      <w:rPr>
        <w:rFonts w:ascii="Wingdings" w:hAnsi="Wingdings" w:hint="default"/>
      </w:rPr>
    </w:lvl>
    <w:lvl w:ilvl="6" w:tplc="04090001" w:tentative="1">
      <w:start w:val="1"/>
      <w:numFmt w:val="bullet"/>
      <w:lvlText w:val=""/>
      <w:lvlJc w:val="left"/>
      <w:pPr>
        <w:ind w:left="5201" w:hanging="360"/>
      </w:pPr>
      <w:rPr>
        <w:rFonts w:ascii="Symbol" w:hAnsi="Symbol" w:hint="default"/>
      </w:rPr>
    </w:lvl>
    <w:lvl w:ilvl="7" w:tplc="04090003" w:tentative="1">
      <w:start w:val="1"/>
      <w:numFmt w:val="bullet"/>
      <w:lvlText w:val="o"/>
      <w:lvlJc w:val="left"/>
      <w:pPr>
        <w:ind w:left="5921" w:hanging="360"/>
      </w:pPr>
      <w:rPr>
        <w:rFonts w:ascii="Courier New" w:hAnsi="Courier New" w:cs="Courier New" w:hint="default"/>
      </w:rPr>
    </w:lvl>
    <w:lvl w:ilvl="8" w:tplc="04090005" w:tentative="1">
      <w:start w:val="1"/>
      <w:numFmt w:val="bullet"/>
      <w:lvlText w:val=""/>
      <w:lvlJc w:val="left"/>
      <w:pPr>
        <w:ind w:left="6641" w:hanging="360"/>
      </w:pPr>
      <w:rPr>
        <w:rFonts w:ascii="Wingdings" w:hAnsi="Wingdings" w:hint="default"/>
      </w:rPr>
    </w:lvl>
  </w:abstractNum>
  <w:abstractNum w:abstractNumId="5">
    <w:nsid w:val="3B5C7D2E"/>
    <w:multiLevelType w:val="hybridMultilevel"/>
    <w:tmpl w:val="327C10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A330055"/>
    <w:multiLevelType w:val="multilevel"/>
    <w:tmpl w:val="E1A8B0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75936C4A"/>
    <w:multiLevelType w:val="hybridMultilevel"/>
    <w:tmpl w:val="45E2521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7"/>
  </w:num>
  <w:num w:numId="3">
    <w:abstractNumId w:val="5"/>
  </w:num>
  <w:num w:numId="4">
    <w:abstractNumId w:val="0"/>
  </w:num>
  <w:num w:numId="5">
    <w:abstractNumId w:val="4"/>
  </w:num>
  <w:num w:numId="6">
    <w:abstractNumId w:val="3"/>
  </w:num>
  <w:num w:numId="7">
    <w:abstractNumId w:val="2"/>
  </w:num>
  <w:num w:numId="8">
    <w:abstractNumId w:val="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A9F"/>
    <w:rsid w:val="00035676"/>
    <w:rsid w:val="000360EB"/>
    <w:rsid w:val="00047B65"/>
    <w:rsid w:val="0005275A"/>
    <w:rsid w:val="00062EC1"/>
    <w:rsid w:val="00085402"/>
    <w:rsid w:val="0009730A"/>
    <w:rsid w:val="000A0366"/>
    <w:rsid w:val="000A5B8E"/>
    <w:rsid w:val="000C1B1E"/>
    <w:rsid w:val="000F5819"/>
    <w:rsid w:val="001013B5"/>
    <w:rsid w:val="00130B9C"/>
    <w:rsid w:val="00130D93"/>
    <w:rsid w:val="001731F7"/>
    <w:rsid w:val="00175635"/>
    <w:rsid w:val="00182AA8"/>
    <w:rsid w:val="00192C30"/>
    <w:rsid w:val="001A3001"/>
    <w:rsid w:val="001B45BC"/>
    <w:rsid w:val="001C5D47"/>
    <w:rsid w:val="001D0B9D"/>
    <w:rsid w:val="001E5FFE"/>
    <w:rsid w:val="00267253"/>
    <w:rsid w:val="0027428B"/>
    <w:rsid w:val="002912CE"/>
    <w:rsid w:val="002A3B2A"/>
    <w:rsid w:val="002B6C94"/>
    <w:rsid w:val="002C0449"/>
    <w:rsid w:val="002C6078"/>
    <w:rsid w:val="002D04B3"/>
    <w:rsid w:val="002E68DD"/>
    <w:rsid w:val="0031640C"/>
    <w:rsid w:val="0033615D"/>
    <w:rsid w:val="003662AC"/>
    <w:rsid w:val="003802C1"/>
    <w:rsid w:val="003979EE"/>
    <w:rsid w:val="003C0CB5"/>
    <w:rsid w:val="003F1ADF"/>
    <w:rsid w:val="00410376"/>
    <w:rsid w:val="004168C7"/>
    <w:rsid w:val="00424D3C"/>
    <w:rsid w:val="00457811"/>
    <w:rsid w:val="004578C2"/>
    <w:rsid w:val="00471212"/>
    <w:rsid w:val="00480347"/>
    <w:rsid w:val="0049433F"/>
    <w:rsid w:val="004A037E"/>
    <w:rsid w:val="004D7DC4"/>
    <w:rsid w:val="004E1D00"/>
    <w:rsid w:val="004E4286"/>
    <w:rsid w:val="004E584F"/>
    <w:rsid w:val="005149B0"/>
    <w:rsid w:val="0054434B"/>
    <w:rsid w:val="00575A4C"/>
    <w:rsid w:val="00595F9E"/>
    <w:rsid w:val="005B7B27"/>
    <w:rsid w:val="005C247D"/>
    <w:rsid w:val="005C3F7B"/>
    <w:rsid w:val="005D27B1"/>
    <w:rsid w:val="005D5108"/>
    <w:rsid w:val="006030D2"/>
    <w:rsid w:val="0064232E"/>
    <w:rsid w:val="00654EA4"/>
    <w:rsid w:val="006760E6"/>
    <w:rsid w:val="006A4B27"/>
    <w:rsid w:val="006A4D7B"/>
    <w:rsid w:val="006D60DC"/>
    <w:rsid w:val="006E0EAD"/>
    <w:rsid w:val="00710F19"/>
    <w:rsid w:val="00751C0D"/>
    <w:rsid w:val="00755E8E"/>
    <w:rsid w:val="0076216A"/>
    <w:rsid w:val="00773F45"/>
    <w:rsid w:val="007A7F79"/>
    <w:rsid w:val="007C2CB4"/>
    <w:rsid w:val="007C7E15"/>
    <w:rsid w:val="00852EA1"/>
    <w:rsid w:val="00873F90"/>
    <w:rsid w:val="008745D3"/>
    <w:rsid w:val="0091264B"/>
    <w:rsid w:val="009402CE"/>
    <w:rsid w:val="00943669"/>
    <w:rsid w:val="0095596E"/>
    <w:rsid w:val="0096025D"/>
    <w:rsid w:val="009729EC"/>
    <w:rsid w:val="00974E68"/>
    <w:rsid w:val="009A325D"/>
    <w:rsid w:val="009B46E8"/>
    <w:rsid w:val="009D3AFE"/>
    <w:rsid w:val="00A061B3"/>
    <w:rsid w:val="00A6197B"/>
    <w:rsid w:val="00A81314"/>
    <w:rsid w:val="00AC7CF3"/>
    <w:rsid w:val="00AE2AC7"/>
    <w:rsid w:val="00AF3F04"/>
    <w:rsid w:val="00B05886"/>
    <w:rsid w:val="00B1307B"/>
    <w:rsid w:val="00B254F7"/>
    <w:rsid w:val="00B66838"/>
    <w:rsid w:val="00B90646"/>
    <w:rsid w:val="00BD197D"/>
    <w:rsid w:val="00BE32E2"/>
    <w:rsid w:val="00C00161"/>
    <w:rsid w:val="00C03A4D"/>
    <w:rsid w:val="00C2495F"/>
    <w:rsid w:val="00C302B1"/>
    <w:rsid w:val="00C542A3"/>
    <w:rsid w:val="00C95ACB"/>
    <w:rsid w:val="00CA0308"/>
    <w:rsid w:val="00CA2EFC"/>
    <w:rsid w:val="00CE0D28"/>
    <w:rsid w:val="00D32A9F"/>
    <w:rsid w:val="00D81B28"/>
    <w:rsid w:val="00DC1616"/>
    <w:rsid w:val="00DE1CFC"/>
    <w:rsid w:val="00DE5591"/>
    <w:rsid w:val="00E369AE"/>
    <w:rsid w:val="00E619DE"/>
    <w:rsid w:val="00E80EC1"/>
    <w:rsid w:val="00E8597C"/>
    <w:rsid w:val="00E94B65"/>
    <w:rsid w:val="00EA32D7"/>
    <w:rsid w:val="00ED1F88"/>
    <w:rsid w:val="00EE732B"/>
    <w:rsid w:val="00EF436C"/>
    <w:rsid w:val="00F070E0"/>
    <w:rsid w:val="00F20124"/>
    <w:rsid w:val="00F3480C"/>
    <w:rsid w:val="00F37938"/>
    <w:rsid w:val="00F44A85"/>
    <w:rsid w:val="00F50E37"/>
    <w:rsid w:val="00F65186"/>
    <w:rsid w:val="00FE4503"/>
    <w:rsid w:val="00FE548B"/>
    <w:rsid w:val="00FE6C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0F5EF6C7-E038-457E-92BA-B8DBF421C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23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32A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0449"/>
    <w:pPr>
      <w:ind w:left="720"/>
      <w:contextualSpacing/>
    </w:pPr>
  </w:style>
  <w:style w:type="character" w:styleId="CommentReference">
    <w:name w:val="annotation reference"/>
    <w:basedOn w:val="DefaultParagraphFont"/>
    <w:uiPriority w:val="99"/>
    <w:semiHidden/>
    <w:unhideWhenUsed/>
    <w:rsid w:val="00C95ACB"/>
    <w:rPr>
      <w:sz w:val="16"/>
      <w:szCs w:val="16"/>
    </w:rPr>
  </w:style>
  <w:style w:type="paragraph" w:styleId="CommentText">
    <w:name w:val="annotation text"/>
    <w:basedOn w:val="Normal"/>
    <w:link w:val="CommentTextChar"/>
    <w:uiPriority w:val="99"/>
    <w:semiHidden/>
    <w:unhideWhenUsed/>
    <w:rsid w:val="00C95ACB"/>
    <w:pPr>
      <w:spacing w:line="240" w:lineRule="auto"/>
    </w:pPr>
    <w:rPr>
      <w:sz w:val="20"/>
      <w:szCs w:val="20"/>
    </w:rPr>
  </w:style>
  <w:style w:type="character" w:customStyle="1" w:styleId="CommentTextChar">
    <w:name w:val="Comment Text Char"/>
    <w:basedOn w:val="DefaultParagraphFont"/>
    <w:link w:val="CommentText"/>
    <w:uiPriority w:val="99"/>
    <w:semiHidden/>
    <w:rsid w:val="00C95ACB"/>
    <w:rPr>
      <w:sz w:val="20"/>
      <w:szCs w:val="20"/>
    </w:rPr>
  </w:style>
  <w:style w:type="paragraph" w:styleId="CommentSubject">
    <w:name w:val="annotation subject"/>
    <w:basedOn w:val="CommentText"/>
    <w:next w:val="CommentText"/>
    <w:link w:val="CommentSubjectChar"/>
    <w:uiPriority w:val="99"/>
    <w:semiHidden/>
    <w:unhideWhenUsed/>
    <w:rsid w:val="00C95ACB"/>
    <w:rPr>
      <w:b/>
      <w:bCs/>
    </w:rPr>
  </w:style>
  <w:style w:type="character" w:customStyle="1" w:styleId="CommentSubjectChar">
    <w:name w:val="Comment Subject Char"/>
    <w:basedOn w:val="CommentTextChar"/>
    <w:link w:val="CommentSubject"/>
    <w:uiPriority w:val="99"/>
    <w:semiHidden/>
    <w:rsid w:val="00C95ACB"/>
    <w:rPr>
      <w:b/>
      <w:bCs/>
      <w:sz w:val="20"/>
      <w:szCs w:val="20"/>
    </w:rPr>
  </w:style>
  <w:style w:type="paragraph" w:styleId="BalloonText">
    <w:name w:val="Balloon Text"/>
    <w:basedOn w:val="Normal"/>
    <w:link w:val="BalloonTextChar"/>
    <w:uiPriority w:val="99"/>
    <w:semiHidden/>
    <w:unhideWhenUsed/>
    <w:rsid w:val="00C95A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5A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479218">
      <w:bodyDiv w:val="1"/>
      <w:marLeft w:val="0"/>
      <w:marRight w:val="0"/>
      <w:marTop w:val="0"/>
      <w:marBottom w:val="0"/>
      <w:divBdr>
        <w:top w:val="none" w:sz="0" w:space="0" w:color="auto"/>
        <w:left w:val="none" w:sz="0" w:space="0" w:color="auto"/>
        <w:bottom w:val="none" w:sz="0" w:space="0" w:color="auto"/>
        <w:right w:val="none" w:sz="0" w:space="0" w:color="auto"/>
      </w:divBdr>
    </w:div>
    <w:div w:id="339158671">
      <w:bodyDiv w:val="1"/>
      <w:marLeft w:val="0"/>
      <w:marRight w:val="0"/>
      <w:marTop w:val="0"/>
      <w:marBottom w:val="0"/>
      <w:divBdr>
        <w:top w:val="none" w:sz="0" w:space="0" w:color="auto"/>
        <w:left w:val="none" w:sz="0" w:space="0" w:color="auto"/>
        <w:bottom w:val="none" w:sz="0" w:space="0" w:color="auto"/>
        <w:right w:val="none" w:sz="0" w:space="0" w:color="auto"/>
      </w:divBdr>
    </w:div>
    <w:div w:id="1217352052">
      <w:bodyDiv w:val="1"/>
      <w:marLeft w:val="0"/>
      <w:marRight w:val="0"/>
      <w:marTop w:val="0"/>
      <w:marBottom w:val="0"/>
      <w:divBdr>
        <w:top w:val="none" w:sz="0" w:space="0" w:color="auto"/>
        <w:left w:val="none" w:sz="0" w:space="0" w:color="auto"/>
        <w:bottom w:val="none" w:sz="0" w:space="0" w:color="auto"/>
        <w:right w:val="none" w:sz="0" w:space="0" w:color="auto"/>
      </w:divBdr>
    </w:div>
    <w:div w:id="1275478128">
      <w:bodyDiv w:val="1"/>
      <w:marLeft w:val="0"/>
      <w:marRight w:val="0"/>
      <w:marTop w:val="0"/>
      <w:marBottom w:val="0"/>
      <w:divBdr>
        <w:top w:val="none" w:sz="0" w:space="0" w:color="auto"/>
        <w:left w:val="none" w:sz="0" w:space="0" w:color="auto"/>
        <w:bottom w:val="none" w:sz="0" w:space="0" w:color="auto"/>
        <w:right w:val="none" w:sz="0" w:space="0" w:color="auto"/>
      </w:divBdr>
    </w:div>
    <w:div w:id="1305702219">
      <w:bodyDiv w:val="1"/>
      <w:marLeft w:val="0"/>
      <w:marRight w:val="0"/>
      <w:marTop w:val="0"/>
      <w:marBottom w:val="0"/>
      <w:divBdr>
        <w:top w:val="none" w:sz="0" w:space="0" w:color="auto"/>
        <w:left w:val="none" w:sz="0" w:space="0" w:color="auto"/>
        <w:bottom w:val="none" w:sz="0" w:space="0" w:color="auto"/>
        <w:right w:val="none" w:sz="0" w:space="0" w:color="auto"/>
      </w:divBdr>
    </w:div>
    <w:div w:id="1320572414">
      <w:bodyDiv w:val="1"/>
      <w:marLeft w:val="0"/>
      <w:marRight w:val="0"/>
      <w:marTop w:val="0"/>
      <w:marBottom w:val="0"/>
      <w:divBdr>
        <w:top w:val="none" w:sz="0" w:space="0" w:color="auto"/>
        <w:left w:val="none" w:sz="0" w:space="0" w:color="auto"/>
        <w:bottom w:val="none" w:sz="0" w:space="0" w:color="auto"/>
        <w:right w:val="none" w:sz="0" w:space="0" w:color="auto"/>
      </w:divBdr>
    </w:div>
    <w:div w:id="1368683108">
      <w:bodyDiv w:val="1"/>
      <w:marLeft w:val="0"/>
      <w:marRight w:val="0"/>
      <w:marTop w:val="0"/>
      <w:marBottom w:val="0"/>
      <w:divBdr>
        <w:top w:val="none" w:sz="0" w:space="0" w:color="auto"/>
        <w:left w:val="none" w:sz="0" w:space="0" w:color="auto"/>
        <w:bottom w:val="none" w:sz="0" w:space="0" w:color="auto"/>
        <w:right w:val="none" w:sz="0" w:space="0" w:color="auto"/>
      </w:divBdr>
    </w:div>
    <w:div w:id="1454638088">
      <w:bodyDiv w:val="1"/>
      <w:marLeft w:val="0"/>
      <w:marRight w:val="0"/>
      <w:marTop w:val="0"/>
      <w:marBottom w:val="0"/>
      <w:divBdr>
        <w:top w:val="none" w:sz="0" w:space="0" w:color="auto"/>
        <w:left w:val="none" w:sz="0" w:space="0" w:color="auto"/>
        <w:bottom w:val="none" w:sz="0" w:space="0" w:color="auto"/>
        <w:right w:val="none" w:sz="0" w:space="0" w:color="auto"/>
      </w:divBdr>
    </w:div>
    <w:div w:id="1883863543">
      <w:bodyDiv w:val="1"/>
      <w:marLeft w:val="0"/>
      <w:marRight w:val="0"/>
      <w:marTop w:val="0"/>
      <w:marBottom w:val="0"/>
      <w:divBdr>
        <w:top w:val="none" w:sz="0" w:space="0" w:color="auto"/>
        <w:left w:val="none" w:sz="0" w:space="0" w:color="auto"/>
        <w:bottom w:val="none" w:sz="0" w:space="0" w:color="auto"/>
        <w:right w:val="none" w:sz="0" w:space="0" w:color="auto"/>
      </w:divBdr>
    </w:div>
    <w:div w:id="2041465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C81D3D-670B-439B-925B-6179EA86F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3</Pages>
  <Words>735</Words>
  <Characters>4195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City of Portland</Company>
  <LinksUpToDate>false</LinksUpToDate>
  <CharactersWithSpaces>4921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cddaniel</dc:creator>
  <cp:lastModifiedBy>Tschabold, Matthew W.</cp:lastModifiedBy>
  <cp:revision>25</cp:revision>
  <cp:lastPrinted>2015-01-09T23:45:00Z</cp:lastPrinted>
  <dcterms:created xsi:type="dcterms:W3CDTF">2014-12-01T20:21:00Z</dcterms:created>
  <dcterms:modified xsi:type="dcterms:W3CDTF">2015-01-10T00:00:00Z</dcterms:modified>
</cp:coreProperties>
</file>