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7B86" w14:textId="77777777" w:rsidR="00DB6737" w:rsidRPr="009B7377" w:rsidRDefault="00DB6737" w:rsidP="00DB6737">
      <w:pPr>
        <w:jc w:val="center"/>
        <w:rPr>
          <w:rFonts w:ascii="Garamond" w:hAnsi="Garamond"/>
          <w:b/>
          <w:sz w:val="26"/>
          <w:szCs w:val="26"/>
        </w:rPr>
      </w:pPr>
      <w:r w:rsidRPr="009B7377">
        <w:rPr>
          <w:rFonts w:ascii="Garamond" w:hAnsi="Garamond"/>
          <w:b/>
          <w:sz w:val="26"/>
          <w:szCs w:val="26"/>
        </w:rPr>
        <w:t>Housing Alliance</w:t>
      </w:r>
    </w:p>
    <w:p w14:paraId="4FB6AC34" w14:textId="75BC790A" w:rsidR="00DB6737" w:rsidRPr="009B7377" w:rsidRDefault="00DB6737" w:rsidP="00DB6737">
      <w:pPr>
        <w:jc w:val="center"/>
        <w:rPr>
          <w:rFonts w:ascii="Garamond" w:hAnsi="Garamond"/>
          <w:b/>
          <w:sz w:val="26"/>
          <w:szCs w:val="26"/>
        </w:rPr>
      </w:pPr>
      <w:r w:rsidRPr="009B7377">
        <w:rPr>
          <w:rFonts w:ascii="Garamond" w:hAnsi="Garamond"/>
          <w:b/>
          <w:sz w:val="26"/>
          <w:szCs w:val="26"/>
        </w:rPr>
        <w:t>Requests for Consideration</w:t>
      </w:r>
      <w:r w:rsidR="00D13094" w:rsidRPr="009B7377">
        <w:rPr>
          <w:rFonts w:ascii="Garamond" w:hAnsi="Garamond"/>
          <w:b/>
          <w:sz w:val="26"/>
          <w:szCs w:val="26"/>
        </w:rPr>
        <w:t xml:space="preserve"> </w:t>
      </w:r>
    </w:p>
    <w:p w14:paraId="54024276" w14:textId="5A7C5C1C" w:rsidR="00D13094" w:rsidRPr="009B7377" w:rsidRDefault="00D13094" w:rsidP="00DB6737">
      <w:pPr>
        <w:jc w:val="center"/>
        <w:rPr>
          <w:rFonts w:ascii="Garamond" w:hAnsi="Garamond"/>
          <w:b/>
          <w:sz w:val="26"/>
          <w:szCs w:val="26"/>
        </w:rPr>
      </w:pPr>
      <w:r w:rsidRPr="009B7377">
        <w:rPr>
          <w:rFonts w:ascii="Garamond" w:hAnsi="Garamond"/>
          <w:b/>
          <w:sz w:val="26"/>
          <w:szCs w:val="26"/>
        </w:rPr>
        <w:t>2015 Housing Opportunity Agenda</w:t>
      </w:r>
    </w:p>
    <w:p w14:paraId="26DA9EF1" w14:textId="7DD3B8B8" w:rsidR="008E0019" w:rsidRPr="009B7377" w:rsidRDefault="00932EB6">
      <w:pPr>
        <w:rPr>
          <w:rFonts w:ascii="Garamond" w:hAnsi="Garamond"/>
          <w:sz w:val="26"/>
          <w:szCs w:val="26"/>
        </w:rPr>
      </w:pPr>
      <w:r w:rsidRPr="009B7377">
        <w:rPr>
          <w:rFonts w:ascii="Garamond" w:hAnsi="Garamond"/>
          <w:sz w:val="26"/>
          <w:szCs w:val="26"/>
        </w:rPr>
        <w:t xml:space="preserve">Lead: </w:t>
      </w:r>
    </w:p>
    <w:p w14:paraId="1683BE94" w14:textId="57219FFF" w:rsidR="00932EB6" w:rsidRPr="009B7377" w:rsidRDefault="00932EB6" w:rsidP="00932EB6">
      <w:pPr>
        <w:pStyle w:val="ListParagraph"/>
        <w:widowControl w:val="0"/>
        <w:numPr>
          <w:ilvl w:val="0"/>
          <w:numId w:val="1"/>
        </w:numPr>
        <w:autoSpaceDE w:val="0"/>
        <w:autoSpaceDN w:val="0"/>
        <w:adjustRightInd w:val="0"/>
        <w:spacing w:after="240"/>
        <w:rPr>
          <w:rFonts w:ascii="Garamond" w:hAnsi="Garamond" w:cs="Times New Roman"/>
          <w:sz w:val="26"/>
          <w:szCs w:val="26"/>
        </w:rPr>
      </w:pPr>
      <w:r w:rsidRPr="009B7377">
        <w:rPr>
          <w:rFonts w:ascii="Garamond" w:hAnsi="Garamond" w:cs="Times New Roman"/>
          <w:bCs/>
          <w:sz w:val="26"/>
          <w:szCs w:val="26"/>
        </w:rPr>
        <w:t xml:space="preserve">Prevent and end homelessness by allocating </w:t>
      </w:r>
      <w:r w:rsidRPr="009B7377">
        <w:rPr>
          <w:rFonts w:ascii="Garamond" w:hAnsi="Garamond" w:cs="Times New Roman"/>
          <w:b/>
          <w:bCs/>
          <w:sz w:val="26"/>
          <w:szCs w:val="26"/>
        </w:rPr>
        <w:t>$10 million to the Emergency Housing Account (EHA) and State Homeless Assistance Program (SHAP)</w:t>
      </w:r>
      <w:r w:rsidRPr="009B7377">
        <w:rPr>
          <w:rFonts w:ascii="Garamond" w:hAnsi="Garamond" w:cs="Times New Roman"/>
          <w:sz w:val="26"/>
          <w:szCs w:val="26"/>
        </w:rPr>
        <w:t xml:space="preserve">. This is our most flexible resource to end and prevent homelessness. This resource has seen several cuts in recent years, while the need is growing at an alarming pace. EHA and SHAP help keep families in their homes, and help families experiencing homelessness get into stable housing. </w:t>
      </w:r>
    </w:p>
    <w:p w14:paraId="2DBE2AC3" w14:textId="71023C64" w:rsidR="00932EB6" w:rsidRPr="009B7377" w:rsidRDefault="00932EB6" w:rsidP="00932EB6">
      <w:pPr>
        <w:pStyle w:val="ListParagraph"/>
        <w:widowControl w:val="0"/>
        <w:numPr>
          <w:ilvl w:val="0"/>
          <w:numId w:val="1"/>
        </w:numPr>
        <w:autoSpaceDE w:val="0"/>
        <w:autoSpaceDN w:val="0"/>
        <w:adjustRightInd w:val="0"/>
        <w:spacing w:after="240"/>
        <w:rPr>
          <w:rFonts w:ascii="Garamond" w:hAnsi="Garamond" w:cs="Times New Roman"/>
          <w:sz w:val="26"/>
          <w:szCs w:val="26"/>
        </w:rPr>
      </w:pPr>
      <w:r w:rsidRPr="009B7377">
        <w:rPr>
          <w:rFonts w:ascii="Garamond" w:hAnsi="Garamond" w:cs="Times New Roman"/>
          <w:sz w:val="26"/>
          <w:szCs w:val="26"/>
        </w:rPr>
        <w:t xml:space="preserve">Across the state, thousands of people with very low incomes live in homes with federal rent subsidies and in manufactured home parks. Many of these homes are at risk of conversion to market rate, including some housing built and owned by non-profit partners statewide. We cannot afford to lose this precious resource or displace our vulnerable neighbors. We need </w:t>
      </w:r>
      <w:r w:rsidRPr="009B7377">
        <w:rPr>
          <w:rFonts w:ascii="Garamond" w:hAnsi="Garamond" w:cs="Times New Roman"/>
          <w:b/>
          <w:sz w:val="26"/>
          <w:szCs w:val="26"/>
        </w:rPr>
        <w:t>$20 million additional funding in Lottery Backed Bonds to fill financing gaps and preserve these affordable homes</w:t>
      </w:r>
      <w:r w:rsidRPr="009B7377">
        <w:rPr>
          <w:rFonts w:ascii="Garamond" w:hAnsi="Garamond" w:cs="Times New Roman"/>
          <w:sz w:val="26"/>
          <w:szCs w:val="26"/>
        </w:rPr>
        <w:t xml:space="preserve">. </w:t>
      </w:r>
    </w:p>
    <w:p w14:paraId="6827D39F" w14:textId="48D35792" w:rsidR="00932EB6" w:rsidRPr="009B7377" w:rsidRDefault="00932EB6" w:rsidP="00932EB6">
      <w:pPr>
        <w:pStyle w:val="ListParagraph"/>
        <w:widowControl w:val="0"/>
        <w:numPr>
          <w:ilvl w:val="0"/>
          <w:numId w:val="1"/>
        </w:numPr>
        <w:autoSpaceDE w:val="0"/>
        <w:autoSpaceDN w:val="0"/>
        <w:adjustRightInd w:val="0"/>
        <w:spacing w:after="240"/>
        <w:rPr>
          <w:rFonts w:ascii="Garamond" w:hAnsi="Garamond" w:cs="Times New Roman"/>
          <w:sz w:val="26"/>
          <w:szCs w:val="26"/>
        </w:rPr>
      </w:pPr>
      <w:r w:rsidRPr="009B7377">
        <w:rPr>
          <w:rFonts w:ascii="Garamond" w:hAnsi="Garamond" w:cs="Times New Roman"/>
          <w:sz w:val="26"/>
          <w:szCs w:val="26"/>
        </w:rPr>
        <w:t xml:space="preserve">We need to continue to work to restore Oregon’s housing market by dedicating </w:t>
      </w:r>
      <w:r w:rsidRPr="009B7377">
        <w:rPr>
          <w:rFonts w:ascii="Garamond" w:hAnsi="Garamond" w:cs="Times New Roman"/>
          <w:b/>
          <w:sz w:val="26"/>
          <w:szCs w:val="26"/>
        </w:rPr>
        <w:t>additional resources to ensure the continued success of the Oregon Foreclosure Avoidance (OFA) Program</w:t>
      </w:r>
      <w:r w:rsidRPr="009B7377">
        <w:rPr>
          <w:rFonts w:ascii="Garamond" w:hAnsi="Garamond" w:cs="Times New Roman"/>
          <w:sz w:val="26"/>
          <w:szCs w:val="26"/>
        </w:rPr>
        <w:t xml:space="preserve">. Homeowners rely on this critical system for essential information, counseling, legal support, mediation services and direct financial relief. </w:t>
      </w:r>
    </w:p>
    <w:p w14:paraId="2A0904D6" w14:textId="77777777" w:rsidR="00932EB6" w:rsidRPr="009B7377" w:rsidRDefault="00932EB6" w:rsidP="00932EB6">
      <w:pPr>
        <w:pStyle w:val="ListParagraph"/>
        <w:numPr>
          <w:ilvl w:val="0"/>
          <w:numId w:val="1"/>
        </w:numPr>
        <w:rPr>
          <w:rFonts w:ascii="Garamond" w:hAnsi="Garamond" w:cs="Times New Roman"/>
          <w:sz w:val="26"/>
          <w:szCs w:val="26"/>
        </w:rPr>
      </w:pPr>
      <w:r w:rsidRPr="009B7377">
        <w:rPr>
          <w:rFonts w:ascii="Garamond" w:hAnsi="Garamond" w:cs="Times New Roman"/>
          <w:b/>
          <w:sz w:val="26"/>
          <w:szCs w:val="26"/>
        </w:rPr>
        <w:t>Expand the Oregon Affordable Housing Tax Credit (OAHTC).</w:t>
      </w:r>
      <w:r w:rsidRPr="009B7377">
        <w:rPr>
          <w:rFonts w:ascii="Garamond" w:hAnsi="Garamond" w:cs="Times New Roman"/>
          <w:sz w:val="26"/>
          <w:szCs w:val="26"/>
        </w:rPr>
        <w:t xml:space="preserve"> The OAHTC is a state tax credit that directly benefits residents with low incomes and resident owners of manufactured home parks by reducing mortgage interest rates. </w:t>
      </w:r>
    </w:p>
    <w:p w14:paraId="6A052051" w14:textId="5D318736" w:rsidR="005F6974" w:rsidRPr="005F6974" w:rsidRDefault="005F6974" w:rsidP="005F6974">
      <w:pPr>
        <w:pStyle w:val="ListParagraph"/>
        <w:numPr>
          <w:ilvl w:val="0"/>
          <w:numId w:val="1"/>
        </w:numPr>
        <w:rPr>
          <w:rFonts w:ascii="Garamond" w:hAnsi="Garamond" w:cs="Times New Roman"/>
          <w:sz w:val="26"/>
          <w:szCs w:val="26"/>
        </w:rPr>
      </w:pPr>
      <w:r w:rsidRPr="005F6974">
        <w:rPr>
          <w:rFonts w:ascii="Garamond" w:hAnsi="Garamond" w:cs="Times New Roman"/>
          <w:b/>
          <w:sz w:val="26"/>
          <w:szCs w:val="26"/>
        </w:rPr>
        <w:t>Support Governor’s request for $100 million in bonds</w:t>
      </w:r>
      <w:r>
        <w:rPr>
          <w:rFonts w:ascii="Garamond" w:hAnsi="Garamond" w:cs="Times New Roman"/>
          <w:b/>
          <w:sz w:val="26"/>
          <w:szCs w:val="26"/>
        </w:rPr>
        <w:t>,</w:t>
      </w:r>
      <w:r>
        <w:rPr>
          <w:rFonts w:ascii="Garamond" w:hAnsi="Garamond" w:cs="Times New Roman"/>
          <w:sz w:val="26"/>
          <w:szCs w:val="26"/>
        </w:rPr>
        <w:t xml:space="preserve"> </w:t>
      </w:r>
      <w:r w:rsidRPr="005F6974">
        <w:rPr>
          <w:rFonts w:ascii="Garamond" w:hAnsi="Garamond" w:cs="Times New Roman"/>
          <w:sz w:val="26"/>
          <w:szCs w:val="26"/>
        </w:rPr>
        <w:t>which will be</w:t>
      </w:r>
      <w:r>
        <w:rPr>
          <w:rFonts w:ascii="Garamond" w:hAnsi="Garamond" w:cs="Times New Roman"/>
          <w:sz w:val="26"/>
          <w:szCs w:val="26"/>
        </w:rPr>
        <w:t xml:space="preserve"> targeted primarily to provide</w:t>
      </w:r>
      <w:r w:rsidRPr="005F6974">
        <w:rPr>
          <w:rFonts w:ascii="Garamond" w:hAnsi="Garamond" w:cs="Times New Roman"/>
          <w:sz w:val="26"/>
          <w:szCs w:val="26"/>
        </w:rPr>
        <w:t xml:space="preserve"> increased housing inventory for homeless families with children</w:t>
      </w:r>
      <w:r>
        <w:rPr>
          <w:rFonts w:ascii="Garamond" w:hAnsi="Garamond" w:cs="Times New Roman"/>
          <w:sz w:val="26"/>
          <w:szCs w:val="26"/>
        </w:rPr>
        <w:t xml:space="preserve">. (Pending final Housing Alliance membership vote) </w:t>
      </w:r>
    </w:p>
    <w:p w14:paraId="6BACB2D3" w14:textId="1BEF9C14" w:rsidR="00932EB6" w:rsidRPr="009B7377" w:rsidRDefault="00932EB6" w:rsidP="00932EB6">
      <w:pPr>
        <w:pStyle w:val="ListParagraph"/>
        <w:numPr>
          <w:ilvl w:val="0"/>
          <w:numId w:val="1"/>
        </w:numPr>
        <w:rPr>
          <w:rFonts w:ascii="Garamond" w:hAnsi="Garamond" w:cs="Times New Roman"/>
          <w:sz w:val="26"/>
          <w:szCs w:val="26"/>
        </w:rPr>
      </w:pPr>
      <w:r w:rsidRPr="009B7377">
        <w:rPr>
          <w:rFonts w:ascii="Garamond" w:hAnsi="Garamond" w:cs="Times New Roman"/>
          <w:b/>
          <w:sz w:val="26"/>
          <w:szCs w:val="26"/>
        </w:rPr>
        <w:t>Develop a “housing lens” in state government</w:t>
      </w:r>
      <w:r w:rsidRPr="009B7377">
        <w:rPr>
          <w:rFonts w:ascii="Garamond" w:hAnsi="Garamond" w:cs="Times New Roman"/>
          <w:sz w:val="26"/>
          <w:szCs w:val="26"/>
        </w:rPr>
        <w:t xml:space="preserve"> by funding staff capacity at Oregon Housing and Co</w:t>
      </w:r>
      <w:bookmarkStart w:id="0" w:name="_GoBack"/>
      <w:bookmarkEnd w:id="0"/>
      <w:r w:rsidRPr="009B7377">
        <w:rPr>
          <w:rFonts w:ascii="Garamond" w:hAnsi="Garamond" w:cs="Times New Roman"/>
          <w:sz w:val="26"/>
          <w:szCs w:val="26"/>
        </w:rPr>
        <w:t>mmunity Services to help ensure that local communities meet local housing needs.</w:t>
      </w:r>
      <w:r w:rsidR="005F6974">
        <w:rPr>
          <w:rFonts w:ascii="Garamond" w:hAnsi="Garamond" w:cs="Times New Roman"/>
          <w:sz w:val="26"/>
          <w:szCs w:val="26"/>
        </w:rPr>
        <w:t xml:space="preserve"> (Pending Housing Alliance workgroup and membership consensus)  </w:t>
      </w:r>
    </w:p>
    <w:p w14:paraId="6ED35919" w14:textId="5083D76E" w:rsidR="00932EB6" w:rsidRPr="009B7377" w:rsidRDefault="00932EB6" w:rsidP="00932EB6">
      <w:pPr>
        <w:pStyle w:val="ListParagraph"/>
        <w:numPr>
          <w:ilvl w:val="0"/>
          <w:numId w:val="1"/>
        </w:numPr>
        <w:rPr>
          <w:rFonts w:ascii="Garamond" w:hAnsi="Garamond" w:cs="Times New Roman"/>
          <w:sz w:val="26"/>
          <w:szCs w:val="26"/>
        </w:rPr>
      </w:pPr>
      <w:r w:rsidRPr="009B7377">
        <w:rPr>
          <w:rFonts w:ascii="Garamond" w:hAnsi="Garamond" w:cs="Times New Roman"/>
          <w:b/>
          <w:sz w:val="26"/>
          <w:szCs w:val="26"/>
        </w:rPr>
        <w:t>Refer a constitutional amendment to allow expanded use of General Obligation bond</w:t>
      </w:r>
      <w:r w:rsidRPr="009B7377">
        <w:rPr>
          <w:rFonts w:ascii="Garamond" w:hAnsi="Garamond" w:cs="Times New Roman"/>
          <w:sz w:val="26"/>
          <w:szCs w:val="26"/>
        </w:rPr>
        <w:t xml:space="preserve"> authority to fund affordable housing for non-elderly and non-disabled populations with low incomes. Currently the Oregon Constitution allows GO bonds used for housing elderly and disabled residents with low incomes. </w:t>
      </w:r>
    </w:p>
    <w:p w14:paraId="6CEC6DBA" w14:textId="77777777" w:rsidR="00932EB6" w:rsidRPr="009B7377" w:rsidRDefault="00932EB6" w:rsidP="004F75A4">
      <w:pPr>
        <w:rPr>
          <w:rFonts w:ascii="Garamond" w:hAnsi="Garamond" w:cs="Times New Roman"/>
          <w:sz w:val="26"/>
          <w:szCs w:val="26"/>
        </w:rPr>
      </w:pPr>
    </w:p>
    <w:p w14:paraId="3CAC9F29" w14:textId="0A120484" w:rsidR="00932EB6" w:rsidRPr="009B7377" w:rsidRDefault="004F75A4" w:rsidP="004F75A4">
      <w:pPr>
        <w:rPr>
          <w:rFonts w:ascii="Garamond" w:hAnsi="Garamond"/>
          <w:sz w:val="26"/>
          <w:szCs w:val="26"/>
        </w:rPr>
      </w:pPr>
      <w:r w:rsidRPr="009B7377">
        <w:rPr>
          <w:rFonts w:ascii="Garamond" w:hAnsi="Garamond"/>
          <w:sz w:val="26"/>
          <w:szCs w:val="26"/>
        </w:rPr>
        <w:t xml:space="preserve">Support: </w:t>
      </w:r>
    </w:p>
    <w:p w14:paraId="376D4D21" w14:textId="77777777" w:rsidR="0090538A" w:rsidRPr="009B7377" w:rsidRDefault="00932EB6" w:rsidP="0090538A">
      <w:pPr>
        <w:pStyle w:val="ListParagraph"/>
        <w:numPr>
          <w:ilvl w:val="0"/>
          <w:numId w:val="12"/>
        </w:numPr>
        <w:rPr>
          <w:rFonts w:ascii="Garamond" w:hAnsi="Garamond"/>
          <w:sz w:val="26"/>
          <w:szCs w:val="26"/>
        </w:rPr>
      </w:pPr>
      <w:r w:rsidRPr="009B7377">
        <w:rPr>
          <w:rFonts w:ascii="Garamond" w:hAnsi="Garamond"/>
          <w:b/>
          <w:sz w:val="26"/>
          <w:szCs w:val="26"/>
        </w:rPr>
        <w:t>Update and Technical Fix to Farmworker Housing Statutes.</w:t>
      </w:r>
      <w:r w:rsidRPr="009B7377">
        <w:rPr>
          <w:rFonts w:ascii="Garamond" w:hAnsi="Garamond"/>
          <w:sz w:val="26"/>
          <w:szCs w:val="26"/>
        </w:rPr>
        <w:t xml:space="preserve"> The statute requires certification by OR-OSHA and the Fire Marshal in order for housing to be eligible for the tax exemption. These requirements have the valid purpose of ensuring basic safety levels for on-farm housing, but no longer satisfy that purpose for newer community-based farmworker housing. The eligibility </w:t>
      </w:r>
      <w:r w:rsidRPr="009B7377">
        <w:rPr>
          <w:rFonts w:ascii="Garamond" w:hAnsi="Garamond"/>
          <w:sz w:val="26"/>
          <w:szCs w:val="26"/>
        </w:rPr>
        <w:lastRenderedPageBreak/>
        <w:t>requirements of the statute need updating to ensure applicability to current housing models.</w:t>
      </w:r>
    </w:p>
    <w:p w14:paraId="432202DF" w14:textId="3E04C981" w:rsidR="008C41F5" w:rsidRPr="009B7377" w:rsidRDefault="008C41F5" w:rsidP="0090538A">
      <w:pPr>
        <w:pStyle w:val="ListParagraph"/>
        <w:numPr>
          <w:ilvl w:val="0"/>
          <w:numId w:val="12"/>
        </w:numPr>
        <w:rPr>
          <w:rFonts w:ascii="Garamond" w:hAnsi="Garamond"/>
          <w:sz w:val="26"/>
          <w:szCs w:val="26"/>
        </w:rPr>
      </w:pPr>
      <w:r w:rsidRPr="009B7377">
        <w:rPr>
          <w:rFonts w:ascii="Garamond" w:hAnsi="Garamond"/>
          <w:b/>
          <w:sz w:val="26"/>
          <w:szCs w:val="26"/>
        </w:rPr>
        <w:t>Repeal preemption on Inclusionary Zoning</w:t>
      </w:r>
      <w:r w:rsidR="0090538A" w:rsidRPr="009B7377">
        <w:rPr>
          <w:rFonts w:ascii="Garamond" w:hAnsi="Garamond"/>
          <w:sz w:val="26"/>
          <w:szCs w:val="26"/>
        </w:rPr>
        <w:t xml:space="preserve">, </w:t>
      </w:r>
      <w:r w:rsidR="0090538A" w:rsidRPr="009B7377">
        <w:rPr>
          <w:rFonts w:ascii="Garamond" w:hAnsi="Garamond" w:cs="Times New Roman"/>
          <w:sz w:val="26"/>
          <w:szCs w:val="26"/>
        </w:rPr>
        <w:t>a tool used to ensure new housing is developed for a range of incomes. This proposal would simply repeal the preemption on inclusionary zoning and allow communities to choose whether or not to have an inclusionary zoning policy as a tool development of affordable housing.</w:t>
      </w:r>
    </w:p>
    <w:p w14:paraId="56E24096" w14:textId="77777777" w:rsidR="00932EB6" w:rsidRPr="009B7377" w:rsidRDefault="00932EB6" w:rsidP="00932EB6">
      <w:pPr>
        <w:pStyle w:val="ListParagraph"/>
        <w:widowControl w:val="0"/>
        <w:numPr>
          <w:ilvl w:val="0"/>
          <w:numId w:val="10"/>
        </w:numPr>
        <w:autoSpaceDE w:val="0"/>
        <w:autoSpaceDN w:val="0"/>
        <w:adjustRightInd w:val="0"/>
        <w:spacing w:after="240"/>
        <w:rPr>
          <w:rFonts w:ascii="Garamond" w:hAnsi="Garamond" w:cs="Times New Roman"/>
          <w:bCs/>
          <w:sz w:val="26"/>
          <w:szCs w:val="26"/>
        </w:rPr>
      </w:pPr>
      <w:r w:rsidRPr="009B7377">
        <w:rPr>
          <w:rFonts w:ascii="Garamond" w:hAnsi="Garamond" w:cs="Times New Roman"/>
          <w:b/>
          <w:sz w:val="26"/>
          <w:szCs w:val="26"/>
        </w:rPr>
        <w:t>Oregon Individual Development Account (IDA) Tax Credit Renewal and Expansion</w:t>
      </w:r>
      <w:r w:rsidRPr="009B7377">
        <w:rPr>
          <w:rFonts w:ascii="Garamond" w:hAnsi="Garamond" w:cs="Times New Roman"/>
          <w:sz w:val="26"/>
          <w:szCs w:val="26"/>
        </w:rPr>
        <w:t xml:space="preserve"> </w:t>
      </w:r>
      <w:r w:rsidRPr="009B7377">
        <w:rPr>
          <w:rFonts w:ascii="Garamond" w:hAnsi="Garamond" w:cs="Times New Roman"/>
          <w:bCs/>
          <w:sz w:val="26"/>
          <w:szCs w:val="26"/>
        </w:rPr>
        <w:t xml:space="preserve">The Oregon IDA Initiative invests in the personal and financial growth of individuals to build strong communities throughout Oregon. The tax credit for donations to the initiatives is set to expire in 2016. We need to renew the tax credit to continue this investment in families and communities, and expand the allowable uses of matched savings. </w:t>
      </w:r>
    </w:p>
    <w:p w14:paraId="4735AD26" w14:textId="75934217" w:rsidR="008C41F5" w:rsidRPr="009B7377" w:rsidRDefault="00E21483" w:rsidP="008C41F5">
      <w:pPr>
        <w:pStyle w:val="ListParagraph"/>
        <w:numPr>
          <w:ilvl w:val="0"/>
          <w:numId w:val="10"/>
        </w:numPr>
        <w:rPr>
          <w:rFonts w:ascii="Garamond" w:hAnsi="Garamond"/>
          <w:sz w:val="26"/>
          <w:szCs w:val="26"/>
        </w:rPr>
      </w:pPr>
      <w:r w:rsidRPr="009B7377">
        <w:rPr>
          <w:rFonts w:ascii="Garamond" w:hAnsi="Garamond" w:cs="Calibri"/>
          <w:b/>
          <w:sz w:val="26"/>
          <w:szCs w:val="26"/>
        </w:rPr>
        <w:t>Rename State Housing Council to “Housing Commission” and give Commission a strong and effective role in setting state housing policy</w:t>
      </w:r>
      <w:r w:rsidRPr="009B7377">
        <w:rPr>
          <w:rFonts w:ascii="Garamond" w:hAnsi="Garamond" w:cs="Calibri"/>
          <w:sz w:val="26"/>
          <w:szCs w:val="26"/>
        </w:rPr>
        <w:t xml:space="preserve"> and ensure that the Commission and OHCS fulfill existing provisions of the statutes related to housing policy development and planning. </w:t>
      </w:r>
    </w:p>
    <w:p w14:paraId="3D9C00CD" w14:textId="44BFF57F" w:rsidR="00E21483" w:rsidRPr="009B7377" w:rsidRDefault="00E252AD" w:rsidP="00E21483">
      <w:pPr>
        <w:pStyle w:val="ListParagraph"/>
        <w:numPr>
          <w:ilvl w:val="0"/>
          <w:numId w:val="10"/>
        </w:numPr>
        <w:rPr>
          <w:rFonts w:ascii="Garamond" w:hAnsi="Garamond"/>
          <w:sz w:val="26"/>
          <w:szCs w:val="26"/>
        </w:rPr>
      </w:pPr>
      <w:r w:rsidRPr="009B7377">
        <w:rPr>
          <w:rFonts w:ascii="Garamond" w:hAnsi="Garamond"/>
          <w:sz w:val="26"/>
          <w:szCs w:val="26"/>
        </w:rPr>
        <w:t xml:space="preserve">Provide a </w:t>
      </w:r>
      <w:r w:rsidR="008C41F5" w:rsidRPr="009B7377">
        <w:rPr>
          <w:rFonts w:ascii="Garamond" w:hAnsi="Garamond"/>
          <w:b/>
          <w:sz w:val="26"/>
          <w:szCs w:val="26"/>
        </w:rPr>
        <w:t>1-year notice to residents of Rural Development mortgage maturity</w:t>
      </w:r>
      <w:r w:rsidR="008C41F5" w:rsidRPr="009B7377">
        <w:rPr>
          <w:rFonts w:ascii="Garamond" w:hAnsi="Garamond"/>
          <w:sz w:val="26"/>
          <w:szCs w:val="26"/>
        </w:rPr>
        <w:t xml:space="preserve"> </w:t>
      </w:r>
    </w:p>
    <w:p w14:paraId="7FAD7AF4" w14:textId="1301BD18" w:rsidR="00E252AD" w:rsidRPr="009B7377" w:rsidRDefault="00E21483" w:rsidP="00E252AD">
      <w:pPr>
        <w:pStyle w:val="ListParagraph"/>
        <w:numPr>
          <w:ilvl w:val="0"/>
          <w:numId w:val="10"/>
        </w:numPr>
        <w:rPr>
          <w:rFonts w:ascii="Garamond" w:hAnsi="Garamond"/>
          <w:sz w:val="26"/>
          <w:szCs w:val="26"/>
        </w:rPr>
      </w:pPr>
      <w:r w:rsidRPr="009B7377">
        <w:rPr>
          <w:rFonts w:ascii="Garamond" w:hAnsi="Garamond" w:cs="Times New Roman"/>
          <w:sz w:val="26"/>
          <w:szCs w:val="26"/>
        </w:rPr>
        <w:t xml:space="preserve">Pass the </w:t>
      </w:r>
      <w:r w:rsidRPr="009B7377">
        <w:rPr>
          <w:rFonts w:ascii="Garamond" w:hAnsi="Garamond" w:cs="Times New Roman"/>
          <w:b/>
          <w:sz w:val="26"/>
          <w:szCs w:val="26"/>
        </w:rPr>
        <w:t>“Right to Rest Act,”</w:t>
      </w:r>
      <w:r w:rsidRPr="009B7377">
        <w:rPr>
          <w:rFonts w:ascii="Garamond" w:hAnsi="Garamond" w:cs="Times New Roman"/>
          <w:sz w:val="26"/>
          <w:szCs w:val="26"/>
        </w:rPr>
        <w:t xml:space="preserve"> </w:t>
      </w:r>
      <w:r w:rsidR="00E252AD" w:rsidRPr="009B7377">
        <w:rPr>
          <w:rFonts w:ascii="Garamond" w:hAnsi="Garamond" w:cs="Times New Roman"/>
          <w:sz w:val="26"/>
          <w:szCs w:val="26"/>
        </w:rPr>
        <w:t>which will help ensure that all people</w:t>
      </w:r>
      <w:r w:rsidRPr="009B7377">
        <w:rPr>
          <w:rFonts w:ascii="Garamond" w:hAnsi="Garamond" w:cs="Times New Roman"/>
          <w:sz w:val="26"/>
          <w:szCs w:val="26"/>
        </w:rPr>
        <w:t>, regardless of their housing status</w:t>
      </w:r>
      <w:r w:rsidR="00E252AD" w:rsidRPr="009B7377">
        <w:rPr>
          <w:rFonts w:ascii="Garamond" w:hAnsi="Garamond" w:cs="Times New Roman"/>
          <w:sz w:val="26"/>
          <w:szCs w:val="26"/>
        </w:rPr>
        <w:t xml:space="preserve">, can safely use public spaces for basic needs like resting and eating. </w:t>
      </w:r>
    </w:p>
    <w:p w14:paraId="3877547E" w14:textId="09FA7FCA" w:rsidR="00E252AD" w:rsidRPr="009B7377" w:rsidRDefault="00E252AD" w:rsidP="00932EB6">
      <w:pPr>
        <w:pStyle w:val="ListParagraph"/>
        <w:numPr>
          <w:ilvl w:val="0"/>
          <w:numId w:val="10"/>
        </w:numPr>
        <w:rPr>
          <w:rFonts w:ascii="Garamond" w:hAnsi="Garamond"/>
          <w:sz w:val="26"/>
          <w:szCs w:val="26"/>
        </w:rPr>
      </w:pPr>
      <w:r w:rsidRPr="009B7377">
        <w:rPr>
          <w:rFonts w:ascii="Garamond" w:hAnsi="Garamond"/>
          <w:b/>
          <w:sz w:val="26"/>
          <w:szCs w:val="26"/>
        </w:rPr>
        <w:t>Expand resources for cleanup and redevelopment of brownfields</w:t>
      </w:r>
      <w:r w:rsidRPr="009B7377">
        <w:rPr>
          <w:rFonts w:ascii="Garamond" w:hAnsi="Garamond"/>
          <w:sz w:val="26"/>
          <w:szCs w:val="26"/>
        </w:rPr>
        <w:t>, where sites are appropriate for use as affordable h</w:t>
      </w:r>
      <w:r w:rsidR="005F6974">
        <w:rPr>
          <w:rFonts w:ascii="Garamond" w:hAnsi="Garamond"/>
          <w:sz w:val="26"/>
          <w:szCs w:val="26"/>
        </w:rPr>
        <w:t xml:space="preserve">ousing. </w:t>
      </w:r>
      <w:r w:rsidR="005F6974">
        <w:rPr>
          <w:rFonts w:ascii="Garamond" w:hAnsi="Garamond" w:cs="Times New Roman"/>
          <w:sz w:val="26"/>
          <w:szCs w:val="26"/>
        </w:rPr>
        <w:t xml:space="preserve">(Pending Housing Alliance membership consensus)  </w:t>
      </w:r>
    </w:p>
    <w:p w14:paraId="35C0481D" w14:textId="54F14083" w:rsidR="00932EB6" w:rsidRPr="009B7377" w:rsidRDefault="00932EB6" w:rsidP="00932EB6">
      <w:pPr>
        <w:pStyle w:val="ListParagraph"/>
        <w:numPr>
          <w:ilvl w:val="0"/>
          <w:numId w:val="10"/>
        </w:numPr>
        <w:rPr>
          <w:rFonts w:ascii="Garamond" w:hAnsi="Garamond"/>
          <w:sz w:val="26"/>
          <w:szCs w:val="26"/>
        </w:rPr>
      </w:pPr>
      <w:r w:rsidRPr="009B7377">
        <w:rPr>
          <w:rFonts w:ascii="Garamond" w:hAnsi="Garamond"/>
          <w:sz w:val="26"/>
          <w:szCs w:val="26"/>
        </w:rPr>
        <w:t xml:space="preserve">Designated funding source to provide </w:t>
      </w:r>
      <w:r w:rsidRPr="009B7377">
        <w:rPr>
          <w:rFonts w:ascii="Garamond" w:hAnsi="Garamond"/>
          <w:b/>
          <w:sz w:val="26"/>
          <w:szCs w:val="26"/>
        </w:rPr>
        <w:t>$12.5M in seed funding for asset leveraging program to Habitat for Humanity</w:t>
      </w:r>
      <w:r w:rsidRPr="009B7377">
        <w:rPr>
          <w:rFonts w:ascii="Garamond" w:hAnsi="Garamond"/>
          <w:sz w:val="26"/>
          <w:szCs w:val="26"/>
        </w:rPr>
        <w:t xml:space="preserve">. </w:t>
      </w:r>
    </w:p>
    <w:p w14:paraId="5CFE9E6B" w14:textId="77777777" w:rsidR="00932EB6" w:rsidRPr="009B7377" w:rsidRDefault="00932EB6" w:rsidP="00932EB6">
      <w:pPr>
        <w:pStyle w:val="ListParagraph"/>
        <w:numPr>
          <w:ilvl w:val="0"/>
          <w:numId w:val="10"/>
        </w:numPr>
        <w:rPr>
          <w:rFonts w:ascii="Garamond" w:hAnsi="Garamond"/>
          <w:sz w:val="26"/>
          <w:szCs w:val="26"/>
        </w:rPr>
      </w:pPr>
      <w:r w:rsidRPr="009B7377">
        <w:rPr>
          <w:rFonts w:ascii="Garamond" w:hAnsi="Garamond"/>
          <w:b/>
          <w:sz w:val="26"/>
          <w:szCs w:val="26"/>
        </w:rPr>
        <w:t>Clarified language of ORS 307.130</w:t>
      </w:r>
      <w:r w:rsidRPr="009B7377">
        <w:rPr>
          <w:rFonts w:ascii="Garamond" w:hAnsi="Garamond"/>
          <w:sz w:val="26"/>
          <w:szCs w:val="26"/>
        </w:rPr>
        <w:t xml:space="preserve"> that will once again enable non-profit homeownership developers serving households earning up to 80% of the area median income to hold this property tax-free, thereby freeing up approximately $250,000 annually to actually build and repair homes.</w:t>
      </w:r>
    </w:p>
    <w:p w14:paraId="7A5887D3" w14:textId="1CBB8D6D" w:rsidR="00932EB6" w:rsidRPr="009B7377" w:rsidRDefault="00932EB6" w:rsidP="004F75A4">
      <w:pPr>
        <w:pStyle w:val="ListParagraph"/>
        <w:numPr>
          <w:ilvl w:val="0"/>
          <w:numId w:val="9"/>
        </w:numPr>
        <w:rPr>
          <w:rFonts w:ascii="Garamond" w:hAnsi="Garamond" w:cs="Times New Roman"/>
          <w:sz w:val="26"/>
          <w:szCs w:val="26"/>
        </w:rPr>
      </w:pPr>
      <w:r w:rsidRPr="009B7377">
        <w:rPr>
          <w:rFonts w:ascii="Garamond" w:hAnsi="Garamond"/>
          <w:b/>
          <w:sz w:val="26"/>
          <w:szCs w:val="26"/>
        </w:rPr>
        <w:t>Allow property tax exemption be granted based upon the income certification at the time of initial occupancy.</w:t>
      </w:r>
      <w:r w:rsidRPr="009B7377">
        <w:rPr>
          <w:rFonts w:ascii="Garamond" w:hAnsi="Garamond"/>
          <w:sz w:val="26"/>
          <w:szCs w:val="26"/>
        </w:rPr>
        <w:t>  This would not only address the direct situation of a household improving their condition and going above 60% median income but also eliminate a burdensome paperwork exercise by both the applicant and the city staff to regularly recertify income. </w:t>
      </w:r>
    </w:p>
    <w:p w14:paraId="72096428" w14:textId="156590F8" w:rsidR="009B7377" w:rsidRPr="009B7377" w:rsidRDefault="00932EB6" w:rsidP="009B7377">
      <w:pPr>
        <w:pStyle w:val="ListParagraph"/>
        <w:numPr>
          <w:ilvl w:val="0"/>
          <w:numId w:val="9"/>
        </w:numPr>
        <w:rPr>
          <w:rFonts w:ascii="Garamond" w:hAnsi="Garamond"/>
          <w:sz w:val="26"/>
          <w:szCs w:val="26"/>
        </w:rPr>
      </w:pPr>
      <w:r w:rsidRPr="009B7377">
        <w:rPr>
          <w:rFonts w:ascii="Garamond" w:hAnsi="Garamond"/>
          <w:b/>
          <w:sz w:val="26"/>
          <w:szCs w:val="26"/>
        </w:rPr>
        <w:t>Significant investments for both TANF and ERDC.</w:t>
      </w:r>
      <w:r w:rsidRPr="009B7377">
        <w:rPr>
          <w:rFonts w:ascii="Garamond" w:hAnsi="Garamond"/>
          <w:sz w:val="26"/>
          <w:szCs w:val="26"/>
        </w:rPr>
        <w:t xml:space="preserve"> </w:t>
      </w:r>
      <w:r w:rsidR="008E46E4">
        <w:rPr>
          <w:rFonts w:ascii="Garamond" w:hAnsi="Garamond"/>
          <w:sz w:val="26"/>
          <w:szCs w:val="26"/>
        </w:rPr>
        <w:t>E</w:t>
      </w:r>
      <w:r w:rsidRPr="009B7377">
        <w:rPr>
          <w:rFonts w:ascii="Garamond" w:hAnsi="Garamond"/>
          <w:sz w:val="26"/>
          <w:szCs w:val="26"/>
        </w:rPr>
        <w:t>nsure that these initiatives provide adequate funds for targeted, evidence-based programs and graduated slopes for families using TANF and ERDC so that they retain more of their earnings and are more stable, thus less likely to return to assistance in the future. If serious revenue reform is considered, we will also be advocating for a significant increase to the EITC.</w:t>
      </w:r>
    </w:p>
    <w:p w14:paraId="0275B35F" w14:textId="47C94471" w:rsidR="008C41F5" w:rsidRPr="009B7377" w:rsidRDefault="009B7377" w:rsidP="009B7377">
      <w:pPr>
        <w:pStyle w:val="ListParagraph"/>
        <w:numPr>
          <w:ilvl w:val="0"/>
          <w:numId w:val="9"/>
        </w:numPr>
        <w:rPr>
          <w:rFonts w:ascii="Garamond" w:hAnsi="Garamond"/>
          <w:sz w:val="26"/>
          <w:szCs w:val="26"/>
        </w:rPr>
      </w:pPr>
      <w:r w:rsidRPr="009B7377">
        <w:rPr>
          <w:rFonts w:ascii="Garamond" w:hAnsi="Garamond"/>
          <w:sz w:val="26"/>
          <w:szCs w:val="26"/>
        </w:rPr>
        <w:lastRenderedPageBreak/>
        <w:t xml:space="preserve">Allocate </w:t>
      </w:r>
      <w:r w:rsidRPr="009B7377">
        <w:rPr>
          <w:rFonts w:ascii="Garamond" w:hAnsi="Garamond"/>
          <w:b/>
          <w:sz w:val="26"/>
          <w:szCs w:val="26"/>
        </w:rPr>
        <w:t>$4.2 million to 211Info</w:t>
      </w:r>
      <w:r w:rsidRPr="009B7377">
        <w:rPr>
          <w:rFonts w:ascii="Garamond" w:hAnsi="Garamond"/>
          <w:sz w:val="26"/>
          <w:szCs w:val="26"/>
        </w:rPr>
        <w:t xml:space="preserve">, to create a cost-effective, single point of contact and responsive staffing and scripting for all State agencies. </w:t>
      </w:r>
    </w:p>
    <w:p w14:paraId="25715012" w14:textId="5FB9080F" w:rsidR="00283EBD" w:rsidRPr="009B7377" w:rsidRDefault="0090538A" w:rsidP="009B7377">
      <w:pPr>
        <w:pStyle w:val="ListParagraph"/>
        <w:numPr>
          <w:ilvl w:val="0"/>
          <w:numId w:val="9"/>
        </w:numPr>
        <w:rPr>
          <w:rFonts w:ascii="Garamond" w:hAnsi="Garamond"/>
          <w:sz w:val="26"/>
          <w:szCs w:val="26"/>
        </w:rPr>
      </w:pPr>
      <w:r w:rsidRPr="009B7377">
        <w:rPr>
          <w:rFonts w:ascii="Garamond" w:hAnsi="Garamond"/>
          <w:b/>
          <w:sz w:val="26"/>
          <w:szCs w:val="26"/>
        </w:rPr>
        <w:t>Fund the Oregon Hunger Response Fund</w:t>
      </w:r>
      <w:r w:rsidRPr="009B7377">
        <w:rPr>
          <w:rFonts w:ascii="Garamond" w:hAnsi="Garamond"/>
          <w:sz w:val="26"/>
          <w:szCs w:val="26"/>
        </w:rPr>
        <w:t>, which helps leverage the power of the Oregon Food Bank network by providing general fund dollars to help purchase food, transport food across the state, and ensure proper storage</w:t>
      </w:r>
      <w:r w:rsidR="009B7377" w:rsidRPr="009B7377">
        <w:rPr>
          <w:rFonts w:ascii="Garamond" w:hAnsi="Garamond"/>
          <w:sz w:val="26"/>
          <w:szCs w:val="26"/>
        </w:rPr>
        <w:t xml:space="preserve">. </w:t>
      </w:r>
    </w:p>
    <w:sectPr w:rsidR="00283EBD" w:rsidRPr="009B7377" w:rsidSect="003540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08D1" w14:textId="77777777" w:rsidR="001E34DC" w:rsidRDefault="001E34DC" w:rsidP="001E34DC">
      <w:r>
        <w:separator/>
      </w:r>
    </w:p>
  </w:endnote>
  <w:endnote w:type="continuationSeparator" w:id="0">
    <w:p w14:paraId="1AB17D79" w14:textId="77777777" w:rsidR="001E34DC" w:rsidRDefault="001E34DC" w:rsidP="001E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2E5D04" w14:textId="77777777" w:rsidR="001E34DC" w:rsidRDefault="001E34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233114" w14:textId="77777777" w:rsidR="001E34DC" w:rsidRDefault="001E34D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E4A4A5" w14:textId="77777777" w:rsidR="001E34DC" w:rsidRDefault="001E34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DF722" w14:textId="77777777" w:rsidR="001E34DC" w:rsidRDefault="001E34DC" w:rsidP="001E34DC">
      <w:r>
        <w:separator/>
      </w:r>
    </w:p>
  </w:footnote>
  <w:footnote w:type="continuationSeparator" w:id="0">
    <w:p w14:paraId="2C1AB1BA" w14:textId="77777777" w:rsidR="001E34DC" w:rsidRDefault="001E34DC" w:rsidP="001E34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A9F8F6" w14:textId="6DDD05F1" w:rsidR="001E34DC" w:rsidRDefault="005F6974">
    <w:pPr>
      <w:pStyle w:val="Header"/>
    </w:pPr>
    <w:r>
      <w:rPr>
        <w:noProof/>
      </w:rPr>
      <w:pict w14:anchorId="0E910E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8pt;height:152.25pt;rotation:315;z-index:-25164902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52428f"/>
          <v:textpath style="font-family:&quot;Cambria&quot;;font-size:1pt" string="DRAFT"/>
          <w10:wrap anchorx="margin" anchory="margin"/>
        </v:shape>
      </w:pict>
    </w:r>
    <w:r>
      <w:rPr>
        <w:noProof/>
      </w:rPr>
      <w:pict w14:anchorId="2D4C4E2C">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97AD65" w14:textId="4FC319DC" w:rsidR="001E34DC" w:rsidRDefault="005F6974">
    <w:pPr>
      <w:pStyle w:val="Header"/>
    </w:pPr>
    <w:r>
      <w:rPr>
        <w:noProof/>
      </w:rPr>
      <w:pict w14:anchorId="2DB339F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56.8pt;height:152.25pt;rotation:315;z-index:-25165107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52428f"/>
          <v:textpath style="font-family:&quot;Cambria&quot;;font-size:1pt" string="DRAFT"/>
          <w10:wrap anchorx="margin" anchory="margin"/>
        </v:shape>
      </w:pict>
    </w:r>
    <w:r>
      <w:rPr>
        <w:noProof/>
      </w:rPr>
      <w:pict w14:anchorId="03234B01">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A268D2" w14:textId="66835197" w:rsidR="001E34DC" w:rsidRDefault="005F6974">
    <w:pPr>
      <w:pStyle w:val="Header"/>
    </w:pPr>
    <w:r>
      <w:rPr>
        <w:noProof/>
      </w:rPr>
      <w:pict w14:anchorId="5C98A1C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56.8pt;height:152.25pt;rotation:315;z-index:-25164697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52428f"/>
          <v:textpath style="font-family:&quot;Cambria&quot;;font-size:1pt" string="DRAFT"/>
          <w10:wrap anchorx="margin" anchory="margin"/>
        </v:shape>
      </w:pict>
    </w:r>
    <w:r>
      <w:rPr>
        <w:noProof/>
      </w:rPr>
      <w:pict w14:anchorId="130F7268">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198"/>
    <w:multiLevelType w:val="hybridMultilevel"/>
    <w:tmpl w:val="1B3E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9C3ED4"/>
    <w:multiLevelType w:val="hybridMultilevel"/>
    <w:tmpl w:val="010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40FF3"/>
    <w:multiLevelType w:val="hybridMultilevel"/>
    <w:tmpl w:val="15B6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D117E"/>
    <w:multiLevelType w:val="hybridMultilevel"/>
    <w:tmpl w:val="DE2C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E1AE1"/>
    <w:multiLevelType w:val="hybridMultilevel"/>
    <w:tmpl w:val="9E1A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25031"/>
    <w:multiLevelType w:val="hybridMultilevel"/>
    <w:tmpl w:val="410E1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912872"/>
    <w:multiLevelType w:val="hybridMultilevel"/>
    <w:tmpl w:val="54A83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9477A"/>
    <w:multiLevelType w:val="hybridMultilevel"/>
    <w:tmpl w:val="A82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43894"/>
    <w:multiLevelType w:val="hybridMultilevel"/>
    <w:tmpl w:val="F400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D43A5E"/>
    <w:multiLevelType w:val="hybridMultilevel"/>
    <w:tmpl w:val="C1043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987068"/>
    <w:multiLevelType w:val="hybridMultilevel"/>
    <w:tmpl w:val="28640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E719C9"/>
    <w:multiLevelType w:val="hybridMultilevel"/>
    <w:tmpl w:val="9B128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
  </w:num>
  <w:num w:numId="6">
    <w:abstractNumId w:val="4"/>
  </w:num>
  <w:num w:numId="7">
    <w:abstractNumId w:val="11"/>
  </w:num>
  <w:num w:numId="8">
    <w:abstractNumId w:val="0"/>
  </w:num>
  <w:num w:numId="9">
    <w:abstractNumId w:val="10"/>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37"/>
    <w:rsid w:val="00093840"/>
    <w:rsid w:val="00113AB9"/>
    <w:rsid w:val="001E34DC"/>
    <w:rsid w:val="00283EBD"/>
    <w:rsid w:val="00313AB9"/>
    <w:rsid w:val="003540C4"/>
    <w:rsid w:val="004567FF"/>
    <w:rsid w:val="00470456"/>
    <w:rsid w:val="004F75A4"/>
    <w:rsid w:val="00507FC5"/>
    <w:rsid w:val="00580BA0"/>
    <w:rsid w:val="005F6974"/>
    <w:rsid w:val="006150F5"/>
    <w:rsid w:val="00702059"/>
    <w:rsid w:val="00715DCD"/>
    <w:rsid w:val="008C41F5"/>
    <w:rsid w:val="008E0019"/>
    <w:rsid w:val="008E46E4"/>
    <w:rsid w:val="0090538A"/>
    <w:rsid w:val="00932EB6"/>
    <w:rsid w:val="009B7377"/>
    <w:rsid w:val="00A03F0B"/>
    <w:rsid w:val="00A12BBF"/>
    <w:rsid w:val="00A56013"/>
    <w:rsid w:val="00B602D6"/>
    <w:rsid w:val="00BE79B6"/>
    <w:rsid w:val="00C35D8E"/>
    <w:rsid w:val="00D13094"/>
    <w:rsid w:val="00D840FD"/>
    <w:rsid w:val="00DB6737"/>
    <w:rsid w:val="00DC04DA"/>
    <w:rsid w:val="00DE2D42"/>
    <w:rsid w:val="00E21483"/>
    <w:rsid w:val="00E252AD"/>
    <w:rsid w:val="00EF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82759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37"/>
    <w:pPr>
      <w:ind w:left="720"/>
      <w:contextualSpacing/>
    </w:pPr>
  </w:style>
  <w:style w:type="paragraph" w:styleId="Header">
    <w:name w:val="header"/>
    <w:basedOn w:val="Normal"/>
    <w:link w:val="HeaderChar"/>
    <w:uiPriority w:val="99"/>
    <w:unhideWhenUsed/>
    <w:rsid w:val="001E34DC"/>
    <w:pPr>
      <w:tabs>
        <w:tab w:val="center" w:pos="4320"/>
        <w:tab w:val="right" w:pos="8640"/>
      </w:tabs>
    </w:pPr>
  </w:style>
  <w:style w:type="character" w:customStyle="1" w:styleId="HeaderChar">
    <w:name w:val="Header Char"/>
    <w:basedOn w:val="DefaultParagraphFont"/>
    <w:link w:val="Header"/>
    <w:uiPriority w:val="99"/>
    <w:rsid w:val="001E34DC"/>
  </w:style>
  <w:style w:type="paragraph" w:styleId="Footer">
    <w:name w:val="footer"/>
    <w:basedOn w:val="Normal"/>
    <w:link w:val="FooterChar"/>
    <w:uiPriority w:val="99"/>
    <w:unhideWhenUsed/>
    <w:rsid w:val="001E34DC"/>
    <w:pPr>
      <w:tabs>
        <w:tab w:val="center" w:pos="4320"/>
        <w:tab w:val="right" w:pos="8640"/>
      </w:tabs>
    </w:pPr>
  </w:style>
  <w:style w:type="character" w:customStyle="1" w:styleId="FooterChar">
    <w:name w:val="Footer Char"/>
    <w:basedOn w:val="DefaultParagraphFont"/>
    <w:link w:val="Footer"/>
    <w:uiPriority w:val="99"/>
    <w:rsid w:val="001E34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37"/>
    <w:pPr>
      <w:ind w:left="720"/>
      <w:contextualSpacing/>
    </w:pPr>
  </w:style>
  <w:style w:type="paragraph" w:styleId="Header">
    <w:name w:val="header"/>
    <w:basedOn w:val="Normal"/>
    <w:link w:val="HeaderChar"/>
    <w:uiPriority w:val="99"/>
    <w:unhideWhenUsed/>
    <w:rsid w:val="001E34DC"/>
    <w:pPr>
      <w:tabs>
        <w:tab w:val="center" w:pos="4320"/>
        <w:tab w:val="right" w:pos="8640"/>
      </w:tabs>
    </w:pPr>
  </w:style>
  <w:style w:type="character" w:customStyle="1" w:styleId="HeaderChar">
    <w:name w:val="Header Char"/>
    <w:basedOn w:val="DefaultParagraphFont"/>
    <w:link w:val="Header"/>
    <w:uiPriority w:val="99"/>
    <w:rsid w:val="001E34DC"/>
  </w:style>
  <w:style w:type="paragraph" w:styleId="Footer">
    <w:name w:val="footer"/>
    <w:basedOn w:val="Normal"/>
    <w:link w:val="FooterChar"/>
    <w:uiPriority w:val="99"/>
    <w:unhideWhenUsed/>
    <w:rsid w:val="001E34DC"/>
    <w:pPr>
      <w:tabs>
        <w:tab w:val="center" w:pos="4320"/>
        <w:tab w:val="right" w:pos="8640"/>
      </w:tabs>
    </w:pPr>
  </w:style>
  <w:style w:type="character" w:customStyle="1" w:styleId="FooterChar">
    <w:name w:val="Footer Char"/>
    <w:basedOn w:val="DefaultParagraphFont"/>
    <w:link w:val="Footer"/>
    <w:uiPriority w:val="99"/>
    <w:rsid w:val="001E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857</Words>
  <Characters>4889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Neighborhood Partnerships</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Carrillo Tinajero</dc:creator>
  <cp:lastModifiedBy>Omar Carrillo Tinajero</cp:lastModifiedBy>
  <cp:revision>9</cp:revision>
  <cp:lastPrinted>2014-12-02T18:25:00Z</cp:lastPrinted>
  <dcterms:created xsi:type="dcterms:W3CDTF">2014-12-02T17:42:00Z</dcterms:created>
  <dcterms:modified xsi:type="dcterms:W3CDTF">2014-12-02T18:53:00Z</dcterms:modified>
</cp:coreProperties>
</file>