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5C" w:rsidRPr="009E1AF9" w:rsidRDefault="00CC343D" w:rsidP="006B275C">
      <w:pPr>
        <w:spacing w:after="0" w:line="240" w:lineRule="auto"/>
        <w:rPr>
          <w:rFonts w:ascii="Garamond" w:hAnsi="Garamond" w:cs="Arial"/>
          <w:iCs/>
          <w:color w:val="000000" w:themeColor="text1"/>
          <w:sz w:val="24"/>
          <w:szCs w:val="24"/>
        </w:rPr>
      </w:pPr>
      <w:r w:rsidRPr="00CC343D">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margin-left:77.95pt;margin-top:-48.85pt;width:321.15pt;height:24.4pt;z-index:251658240;mso-width-relative:margin;mso-height-relative:margin">
            <v:textbox>
              <w:txbxContent>
                <w:p w:rsidR="008A2F0B" w:rsidRDefault="008A2F0B" w:rsidP="008A2F0B">
                  <w:pPr>
                    <w:jc w:val="center"/>
                    <w:rPr>
                      <w:rFonts w:ascii="Garamond" w:hAnsi="Garamond"/>
                      <w:b/>
                    </w:rPr>
                  </w:pPr>
                  <w:r>
                    <w:rPr>
                      <w:rFonts w:ascii="Garamond" w:hAnsi="Garamond" w:cs="Calibri"/>
                      <w:b/>
                    </w:rPr>
                    <w:t xml:space="preserve">Appendix D – </w:t>
                  </w:r>
                  <w:r w:rsidRPr="00815392">
                    <w:rPr>
                      <w:rFonts w:ascii="Garamond" w:hAnsi="Garamond" w:cs="Calibri"/>
                      <w:b/>
                      <w:sz w:val="24"/>
                    </w:rPr>
                    <w:t>Performance</w:t>
                  </w:r>
                  <w:r>
                    <w:rPr>
                      <w:rFonts w:ascii="Garamond" w:hAnsi="Garamond" w:cs="Calibri"/>
                      <w:b/>
                    </w:rPr>
                    <w:t xml:space="preserve"> Measure &amp; Reporting Guidelines</w:t>
                  </w:r>
                </w:p>
              </w:txbxContent>
            </v:textbox>
          </v:shape>
        </w:pict>
      </w:r>
      <w:r w:rsidR="009E1AF9" w:rsidRPr="009E1AF9">
        <w:rPr>
          <w:rFonts w:ascii="Garamond" w:hAnsi="Garamond" w:cs="Arial"/>
          <w:iCs/>
          <w:color w:val="000000" w:themeColor="text1"/>
          <w:sz w:val="24"/>
          <w:szCs w:val="24"/>
        </w:rPr>
        <w:t xml:space="preserve">The performance measures and other reporting elements we </w:t>
      </w:r>
      <w:r w:rsidR="006B275C" w:rsidRPr="009E1AF9">
        <w:rPr>
          <w:rFonts w:ascii="Garamond" w:hAnsi="Garamond" w:cs="Arial"/>
          <w:iCs/>
          <w:color w:val="000000" w:themeColor="text1"/>
          <w:sz w:val="24"/>
          <w:szCs w:val="24"/>
        </w:rPr>
        <w:t xml:space="preserve">require subrecipients </w:t>
      </w:r>
      <w:r w:rsidR="009E1AF9" w:rsidRPr="009E1AF9">
        <w:rPr>
          <w:rFonts w:ascii="Garamond" w:hAnsi="Garamond" w:cs="Arial"/>
          <w:iCs/>
          <w:color w:val="000000" w:themeColor="text1"/>
          <w:sz w:val="24"/>
          <w:szCs w:val="24"/>
        </w:rPr>
        <w:t xml:space="preserve">provide </w:t>
      </w:r>
      <w:r w:rsidR="006B275C" w:rsidRPr="009E1AF9">
        <w:rPr>
          <w:rFonts w:ascii="Garamond" w:hAnsi="Garamond" w:cs="Arial"/>
          <w:iCs/>
          <w:color w:val="000000" w:themeColor="text1"/>
          <w:sz w:val="24"/>
          <w:szCs w:val="24"/>
        </w:rPr>
        <w:t>must be informed by a number of considerations.</w:t>
      </w:r>
    </w:p>
    <w:p w:rsidR="006B275C" w:rsidRPr="009E1AF9" w:rsidRDefault="006B275C" w:rsidP="006B275C">
      <w:pPr>
        <w:spacing w:after="0" w:line="240" w:lineRule="auto"/>
        <w:rPr>
          <w:rFonts w:ascii="Garamond" w:hAnsi="Garamond" w:cs="Arial"/>
          <w:iCs/>
          <w:color w:val="000000" w:themeColor="text1"/>
          <w:sz w:val="24"/>
          <w:szCs w:val="24"/>
        </w:rPr>
      </w:pPr>
    </w:p>
    <w:p w:rsidR="006B275C" w:rsidRPr="009E1AF9" w:rsidRDefault="006B275C" w:rsidP="009E1AF9">
      <w:pPr>
        <w:numPr>
          <w:ilvl w:val="0"/>
          <w:numId w:val="1"/>
        </w:numPr>
        <w:spacing w:after="0" w:line="240" w:lineRule="auto"/>
        <w:ind w:left="360"/>
        <w:rPr>
          <w:rFonts w:ascii="Garamond" w:hAnsi="Garamond" w:cs="Arial"/>
          <w:b/>
          <w:iCs/>
          <w:color w:val="000000" w:themeColor="text1"/>
          <w:sz w:val="24"/>
          <w:szCs w:val="24"/>
        </w:rPr>
      </w:pPr>
      <w:r w:rsidRPr="009E1AF9">
        <w:rPr>
          <w:rFonts w:ascii="Garamond" w:hAnsi="Garamond" w:cs="Arial"/>
          <w:b/>
          <w:iCs/>
          <w:color w:val="000000" w:themeColor="text1"/>
          <w:sz w:val="24"/>
          <w:szCs w:val="24"/>
        </w:rPr>
        <w:t>Funding Source Data Requirements</w:t>
      </w:r>
    </w:p>
    <w:p w:rsidR="006B275C" w:rsidRPr="009E1AF9" w:rsidRDefault="006B275C" w:rsidP="009E1AF9">
      <w:pPr>
        <w:numPr>
          <w:ilvl w:val="0"/>
          <w:numId w:val="2"/>
        </w:numPr>
        <w:spacing w:after="0" w:line="240" w:lineRule="auto"/>
        <w:rPr>
          <w:rFonts w:ascii="Garamond" w:hAnsi="Garamond" w:cs="Arial"/>
          <w:b/>
          <w:iCs/>
          <w:color w:val="000000" w:themeColor="text1"/>
          <w:sz w:val="24"/>
          <w:szCs w:val="24"/>
        </w:rPr>
      </w:pPr>
      <w:r w:rsidRPr="009E1AF9">
        <w:rPr>
          <w:rFonts w:ascii="Garamond" w:hAnsi="Garamond" w:cs="Arial"/>
          <w:b/>
          <w:iCs/>
          <w:color w:val="000000" w:themeColor="text1"/>
          <w:sz w:val="24"/>
          <w:szCs w:val="24"/>
        </w:rPr>
        <w:t>General</w:t>
      </w:r>
    </w:p>
    <w:p w:rsidR="006B275C" w:rsidRPr="009E1AF9" w:rsidRDefault="006B275C" w:rsidP="009E1AF9">
      <w:pPr>
        <w:numPr>
          <w:ilvl w:val="1"/>
          <w:numId w:val="2"/>
        </w:numPr>
        <w:spacing w:after="0" w:line="240" w:lineRule="auto"/>
        <w:rPr>
          <w:rFonts w:ascii="Garamond" w:hAnsi="Garamond" w:cs="Arial"/>
          <w:iCs/>
          <w:color w:val="000000" w:themeColor="text1"/>
          <w:sz w:val="24"/>
          <w:szCs w:val="24"/>
        </w:rPr>
      </w:pPr>
      <w:r w:rsidRPr="009E1AF9">
        <w:rPr>
          <w:rFonts w:ascii="Garamond" w:hAnsi="Garamond" w:cs="Arial"/>
          <w:b/>
          <w:iCs/>
          <w:color w:val="000000" w:themeColor="text1"/>
          <w:sz w:val="24"/>
          <w:szCs w:val="24"/>
        </w:rPr>
        <w:t>Federal Sources</w:t>
      </w:r>
      <w:r w:rsidRPr="009E1AF9">
        <w:rPr>
          <w:rFonts w:ascii="Garamond" w:hAnsi="Garamond" w:cs="Arial"/>
          <w:iCs/>
          <w:color w:val="000000" w:themeColor="text1"/>
          <w:sz w:val="24"/>
          <w:szCs w:val="24"/>
        </w:rPr>
        <w:t xml:space="preserve"> </w:t>
      </w:r>
      <w:r w:rsidR="009E1AF9" w:rsidRPr="009E1AF9">
        <w:rPr>
          <w:rFonts w:ascii="Garamond" w:hAnsi="Garamond" w:cs="Arial"/>
          <w:iCs/>
          <w:color w:val="000000" w:themeColor="text1"/>
          <w:sz w:val="24"/>
          <w:szCs w:val="24"/>
        </w:rPr>
        <w:t>–</w:t>
      </w:r>
      <w:r w:rsidRPr="009E1AF9">
        <w:rPr>
          <w:rFonts w:ascii="Garamond" w:hAnsi="Garamond" w:cs="Arial"/>
          <w:iCs/>
          <w:color w:val="000000" w:themeColor="text1"/>
          <w:sz w:val="24"/>
          <w:szCs w:val="24"/>
        </w:rPr>
        <w:t xml:space="preserve"> </w:t>
      </w:r>
      <w:r w:rsidR="009E1AF9" w:rsidRPr="009E1AF9">
        <w:rPr>
          <w:rFonts w:ascii="Garamond" w:hAnsi="Garamond" w:cs="Arial"/>
          <w:iCs/>
          <w:color w:val="000000" w:themeColor="text1"/>
          <w:sz w:val="24"/>
          <w:szCs w:val="24"/>
        </w:rPr>
        <w:t>This ref</w:t>
      </w:r>
      <w:r w:rsidRPr="009E1AF9">
        <w:rPr>
          <w:rFonts w:ascii="Garamond" w:hAnsi="Garamond" w:cs="Arial"/>
          <w:iCs/>
          <w:color w:val="000000" w:themeColor="text1"/>
          <w:sz w:val="24"/>
          <w:szCs w:val="24"/>
        </w:rPr>
        <w:t xml:space="preserve">ers to either entitlement funds (i.e., CDBG, HOME, ESG or HOPWA) or other Federal grants (e.g., Lead Based Paint, Healthy Homes, </w:t>
      </w:r>
      <w:proofErr w:type="gramStart"/>
      <w:r w:rsidRPr="009E1AF9">
        <w:rPr>
          <w:rFonts w:ascii="Garamond" w:hAnsi="Garamond" w:cs="Arial"/>
          <w:iCs/>
          <w:color w:val="000000" w:themeColor="text1"/>
          <w:sz w:val="24"/>
          <w:szCs w:val="24"/>
        </w:rPr>
        <w:t>ARRA</w:t>
      </w:r>
      <w:proofErr w:type="gramEnd"/>
      <w:r w:rsidRPr="009E1AF9">
        <w:rPr>
          <w:rFonts w:ascii="Garamond" w:hAnsi="Garamond" w:cs="Arial"/>
          <w:iCs/>
          <w:color w:val="000000" w:themeColor="text1"/>
          <w:sz w:val="24"/>
          <w:szCs w:val="24"/>
        </w:rPr>
        <w:t xml:space="preserve"> grants).  Each type of grant has its own reporting requirements which are delineated in the grant agreement. </w:t>
      </w:r>
      <w:r w:rsidR="009E1AF9" w:rsidRPr="009E1AF9">
        <w:rPr>
          <w:rFonts w:ascii="Garamond" w:hAnsi="Garamond" w:cs="Arial"/>
          <w:iCs/>
          <w:color w:val="000000" w:themeColor="text1"/>
          <w:sz w:val="24"/>
          <w:szCs w:val="24"/>
        </w:rPr>
        <w:t xml:space="preserve"> </w:t>
      </w:r>
      <w:r w:rsidRPr="009E1AF9">
        <w:rPr>
          <w:rFonts w:ascii="Garamond" w:hAnsi="Garamond" w:cs="Arial"/>
          <w:iCs/>
          <w:color w:val="000000" w:themeColor="text1"/>
          <w:sz w:val="24"/>
          <w:szCs w:val="24"/>
        </w:rPr>
        <w:t xml:space="preserve">There may also be special reporting requirements if you are managing a grant that is Federal in origin but that we receive through another entity (e.g., NSP received through the State of Oregon).  </w:t>
      </w:r>
    </w:p>
    <w:p w:rsidR="006B275C" w:rsidRPr="009E1AF9" w:rsidRDefault="006B275C" w:rsidP="009E1AF9">
      <w:pPr>
        <w:numPr>
          <w:ilvl w:val="1"/>
          <w:numId w:val="2"/>
        </w:numPr>
        <w:spacing w:after="0" w:line="240" w:lineRule="auto"/>
        <w:rPr>
          <w:rFonts w:ascii="Garamond" w:hAnsi="Garamond" w:cs="Arial"/>
          <w:iCs/>
          <w:color w:val="000000" w:themeColor="text1"/>
          <w:sz w:val="24"/>
          <w:szCs w:val="24"/>
        </w:rPr>
      </w:pPr>
      <w:r w:rsidRPr="009E1AF9">
        <w:rPr>
          <w:rFonts w:ascii="Garamond" w:hAnsi="Garamond" w:cs="Arial"/>
          <w:b/>
          <w:iCs/>
          <w:color w:val="000000" w:themeColor="text1"/>
          <w:sz w:val="24"/>
          <w:szCs w:val="24"/>
        </w:rPr>
        <w:t>General Fund one-time funding</w:t>
      </w:r>
      <w:r w:rsidRPr="009E1AF9">
        <w:rPr>
          <w:rFonts w:ascii="Garamond" w:hAnsi="Garamond" w:cs="Arial"/>
          <w:iCs/>
          <w:color w:val="000000" w:themeColor="text1"/>
          <w:sz w:val="24"/>
          <w:szCs w:val="24"/>
        </w:rPr>
        <w:t xml:space="preserve"> </w:t>
      </w:r>
      <w:r w:rsidR="009E1AF9" w:rsidRPr="009E1AF9">
        <w:rPr>
          <w:rFonts w:ascii="Garamond" w:hAnsi="Garamond" w:cs="Arial"/>
          <w:iCs/>
          <w:color w:val="000000" w:themeColor="text1"/>
          <w:sz w:val="24"/>
          <w:szCs w:val="24"/>
        </w:rPr>
        <w:t xml:space="preserve">– One-time general fund resources </w:t>
      </w:r>
      <w:r w:rsidRPr="009E1AF9">
        <w:rPr>
          <w:rFonts w:ascii="Garamond" w:hAnsi="Garamond" w:cs="Arial"/>
          <w:iCs/>
          <w:color w:val="000000" w:themeColor="text1"/>
          <w:sz w:val="24"/>
          <w:szCs w:val="24"/>
        </w:rPr>
        <w:t>require reporting twice or three times per year (in the BMP process) on progress against target outcomes the decision package funding is intended to achieve.  The bureau generally determines the appropriate measure(s) to track progress and success.</w:t>
      </w:r>
    </w:p>
    <w:p w:rsidR="006B275C" w:rsidRPr="009E1AF9" w:rsidRDefault="006B275C" w:rsidP="009E1AF9">
      <w:pPr>
        <w:numPr>
          <w:ilvl w:val="0"/>
          <w:numId w:val="2"/>
        </w:numPr>
        <w:spacing w:after="0" w:line="240" w:lineRule="auto"/>
        <w:rPr>
          <w:rFonts w:ascii="Garamond" w:hAnsi="Garamond" w:cs="Arial"/>
          <w:b/>
          <w:iCs/>
          <w:color w:val="000000" w:themeColor="text1"/>
          <w:sz w:val="24"/>
          <w:szCs w:val="24"/>
        </w:rPr>
      </w:pPr>
      <w:r w:rsidRPr="009E1AF9">
        <w:rPr>
          <w:rFonts w:ascii="Garamond" w:hAnsi="Garamond" w:cs="Arial"/>
          <w:b/>
          <w:iCs/>
          <w:color w:val="000000" w:themeColor="text1"/>
          <w:sz w:val="24"/>
          <w:szCs w:val="24"/>
        </w:rPr>
        <w:t xml:space="preserve">Activity-specific </w:t>
      </w:r>
    </w:p>
    <w:p w:rsidR="006B275C" w:rsidRPr="009E1AF9" w:rsidRDefault="006B275C" w:rsidP="009E1AF9">
      <w:pPr>
        <w:numPr>
          <w:ilvl w:val="1"/>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For Federal sources, depending upon the type of eligible activity the Federal funds are funding, there will be activity-specific data requirements.  The data collected depends on two factors:</w:t>
      </w:r>
    </w:p>
    <w:p w:rsidR="006B275C" w:rsidRPr="009E1AF9" w:rsidRDefault="006B275C" w:rsidP="009E1AF9">
      <w:pPr>
        <w:numPr>
          <w:ilvl w:val="4"/>
          <w:numId w:val="2"/>
        </w:numPr>
        <w:tabs>
          <w:tab w:val="num" w:pos="2160"/>
        </w:tabs>
        <w:spacing w:after="0" w:line="240" w:lineRule="auto"/>
        <w:ind w:left="2160"/>
        <w:rPr>
          <w:rFonts w:ascii="Garamond" w:hAnsi="Garamond" w:cs="Arial"/>
          <w:iCs/>
          <w:color w:val="000000" w:themeColor="text1"/>
          <w:sz w:val="24"/>
          <w:szCs w:val="24"/>
        </w:rPr>
      </w:pPr>
      <w:r w:rsidRPr="009E1AF9">
        <w:rPr>
          <w:rFonts w:ascii="Garamond" w:hAnsi="Garamond" w:cs="Arial"/>
          <w:iCs/>
          <w:color w:val="000000" w:themeColor="text1"/>
          <w:sz w:val="24"/>
          <w:szCs w:val="24"/>
        </w:rPr>
        <w:t>National Objective, usually either Low/Mod Housing (LMH) or Low/Mod Clientele (LMC)</w:t>
      </w:r>
    </w:p>
    <w:p w:rsidR="006B275C" w:rsidRPr="009E1AF9" w:rsidRDefault="006B275C" w:rsidP="009E1AF9">
      <w:pPr>
        <w:numPr>
          <w:ilvl w:val="4"/>
          <w:numId w:val="2"/>
        </w:numPr>
        <w:tabs>
          <w:tab w:val="num" w:pos="2160"/>
        </w:tabs>
        <w:spacing w:after="0" w:line="240" w:lineRule="auto"/>
        <w:ind w:left="2160"/>
        <w:rPr>
          <w:rFonts w:ascii="Garamond" w:hAnsi="Garamond" w:cs="Arial"/>
          <w:iCs/>
          <w:color w:val="000000" w:themeColor="text1"/>
          <w:sz w:val="24"/>
          <w:szCs w:val="24"/>
        </w:rPr>
      </w:pPr>
      <w:r w:rsidRPr="009E1AF9">
        <w:rPr>
          <w:rFonts w:ascii="Garamond" w:hAnsi="Garamond" w:cs="Arial"/>
          <w:iCs/>
          <w:color w:val="000000" w:themeColor="text1"/>
          <w:sz w:val="24"/>
          <w:szCs w:val="24"/>
        </w:rPr>
        <w:t>Matrix Code or sub-program objective (matrix code is used only for CDBG)</w:t>
      </w:r>
    </w:p>
    <w:p w:rsidR="009E1AF9" w:rsidRPr="009E1AF9" w:rsidRDefault="009E1AF9" w:rsidP="009E1AF9">
      <w:pPr>
        <w:spacing w:after="0" w:line="240" w:lineRule="auto"/>
        <w:rPr>
          <w:rFonts w:ascii="Garamond" w:hAnsi="Garamond" w:cs="Arial"/>
          <w:iCs/>
          <w:color w:val="000000" w:themeColor="text1"/>
          <w:sz w:val="24"/>
          <w:szCs w:val="24"/>
        </w:rPr>
      </w:pPr>
    </w:p>
    <w:p w:rsidR="009E1AF9" w:rsidRPr="009E1AF9" w:rsidRDefault="009E1AF9" w:rsidP="009E1AF9">
      <w:pPr>
        <w:pStyle w:val="ListParagraph"/>
        <w:numPr>
          <w:ilvl w:val="0"/>
          <w:numId w:val="1"/>
        </w:numPr>
        <w:spacing w:after="0" w:line="240" w:lineRule="auto"/>
        <w:ind w:left="360"/>
        <w:rPr>
          <w:rFonts w:ascii="Garamond" w:hAnsi="Garamond" w:cs="Arial"/>
          <w:b/>
          <w:iCs/>
          <w:color w:val="000000" w:themeColor="text1"/>
          <w:sz w:val="24"/>
          <w:szCs w:val="24"/>
        </w:rPr>
      </w:pPr>
      <w:r w:rsidRPr="009E1AF9">
        <w:rPr>
          <w:rFonts w:ascii="Garamond" w:hAnsi="Garamond" w:cs="Arial"/>
          <w:b/>
          <w:iCs/>
          <w:color w:val="000000" w:themeColor="text1"/>
          <w:sz w:val="24"/>
          <w:szCs w:val="24"/>
        </w:rPr>
        <w:t>R</w:t>
      </w:r>
      <w:r w:rsidR="006B275C" w:rsidRPr="009E1AF9">
        <w:rPr>
          <w:rFonts w:ascii="Garamond" w:hAnsi="Garamond" w:cs="Arial"/>
          <w:b/>
          <w:iCs/>
          <w:color w:val="000000" w:themeColor="text1"/>
          <w:sz w:val="24"/>
          <w:szCs w:val="24"/>
        </w:rPr>
        <w:t xml:space="preserve">eporting </w:t>
      </w:r>
      <w:r w:rsidRPr="009E1AF9">
        <w:rPr>
          <w:rFonts w:ascii="Garamond" w:hAnsi="Garamond" w:cs="Arial"/>
          <w:b/>
          <w:iCs/>
          <w:color w:val="000000" w:themeColor="text1"/>
          <w:sz w:val="24"/>
          <w:szCs w:val="24"/>
        </w:rPr>
        <w:t>M</w:t>
      </w:r>
      <w:r w:rsidR="006B275C" w:rsidRPr="009E1AF9">
        <w:rPr>
          <w:rFonts w:ascii="Garamond" w:hAnsi="Garamond" w:cs="Arial"/>
          <w:b/>
          <w:iCs/>
          <w:color w:val="000000" w:themeColor="text1"/>
          <w:sz w:val="24"/>
          <w:szCs w:val="24"/>
        </w:rPr>
        <w:t>etrics</w:t>
      </w:r>
    </w:p>
    <w:p w:rsidR="009E1AF9" w:rsidRPr="009E1AF9" w:rsidRDefault="009E1AF9" w:rsidP="009E1AF9">
      <w:pPr>
        <w:numPr>
          <w:ilvl w:val="0"/>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 xml:space="preserve">Common metrics include </w:t>
      </w:r>
      <w:r w:rsidR="006B275C" w:rsidRPr="009E1AF9">
        <w:rPr>
          <w:rFonts w:ascii="Garamond" w:hAnsi="Garamond" w:cs="Arial"/>
          <w:iCs/>
          <w:color w:val="000000" w:themeColor="text1"/>
          <w:sz w:val="24"/>
          <w:szCs w:val="24"/>
        </w:rPr>
        <w:t>people, units</w:t>
      </w:r>
      <w:r w:rsidRPr="009E1AF9">
        <w:rPr>
          <w:rFonts w:ascii="Garamond" w:hAnsi="Garamond" w:cs="Arial"/>
          <w:iCs/>
          <w:color w:val="000000" w:themeColor="text1"/>
          <w:sz w:val="24"/>
          <w:szCs w:val="24"/>
        </w:rPr>
        <w:t xml:space="preserve"> and</w:t>
      </w:r>
      <w:r w:rsidR="006B275C" w:rsidRPr="009E1AF9">
        <w:rPr>
          <w:rFonts w:ascii="Garamond" w:hAnsi="Garamond" w:cs="Arial"/>
          <w:iCs/>
          <w:color w:val="000000" w:themeColor="text1"/>
          <w:sz w:val="24"/>
          <w:szCs w:val="24"/>
        </w:rPr>
        <w:t xml:space="preserve"> households served</w:t>
      </w:r>
      <w:r w:rsidRPr="009E1AF9">
        <w:rPr>
          <w:rFonts w:ascii="Garamond" w:hAnsi="Garamond" w:cs="Arial"/>
          <w:iCs/>
          <w:color w:val="000000" w:themeColor="text1"/>
          <w:sz w:val="24"/>
          <w:szCs w:val="24"/>
        </w:rPr>
        <w:t xml:space="preserve">.  </w:t>
      </w:r>
    </w:p>
    <w:p w:rsidR="009E1AF9" w:rsidRPr="009E1AF9" w:rsidRDefault="009E1AF9" w:rsidP="009E1AF9">
      <w:pPr>
        <w:numPr>
          <w:ilvl w:val="0"/>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More specific metrics include</w:t>
      </w:r>
      <w:r w:rsidR="006B275C" w:rsidRPr="009E1AF9">
        <w:rPr>
          <w:rFonts w:ascii="Garamond" w:hAnsi="Garamond" w:cs="Arial"/>
          <w:iCs/>
          <w:color w:val="000000" w:themeColor="text1"/>
          <w:sz w:val="24"/>
          <w:szCs w:val="24"/>
        </w:rPr>
        <w:t xml:space="preserve"> income, race, ethnicity, </w:t>
      </w:r>
      <w:proofErr w:type="gramStart"/>
      <w:r w:rsidR="006B275C" w:rsidRPr="009E1AF9">
        <w:rPr>
          <w:rFonts w:ascii="Garamond" w:hAnsi="Garamond" w:cs="Arial"/>
          <w:iCs/>
          <w:color w:val="000000" w:themeColor="text1"/>
          <w:sz w:val="24"/>
          <w:szCs w:val="24"/>
        </w:rPr>
        <w:t>head</w:t>
      </w:r>
      <w:proofErr w:type="gramEnd"/>
      <w:r w:rsidR="006B275C" w:rsidRPr="009E1AF9">
        <w:rPr>
          <w:rFonts w:ascii="Garamond" w:hAnsi="Garamond" w:cs="Arial"/>
          <w:iCs/>
          <w:color w:val="000000" w:themeColor="text1"/>
          <w:sz w:val="24"/>
          <w:szCs w:val="24"/>
        </w:rPr>
        <w:t xml:space="preserve"> of household, female head of household.</w:t>
      </w:r>
      <w:r w:rsidRPr="009E1AF9">
        <w:rPr>
          <w:rFonts w:ascii="Garamond" w:hAnsi="Garamond" w:cs="Arial"/>
          <w:iCs/>
          <w:color w:val="000000" w:themeColor="text1"/>
          <w:sz w:val="24"/>
          <w:szCs w:val="24"/>
        </w:rPr>
        <w:t xml:space="preserve">  </w:t>
      </w:r>
    </w:p>
    <w:p w:rsidR="006B275C" w:rsidRPr="009E1AF9" w:rsidRDefault="009E1AF9" w:rsidP="009E1AF9">
      <w:pPr>
        <w:numPr>
          <w:ilvl w:val="0"/>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V</w:t>
      </w:r>
      <w:r w:rsidR="006B275C" w:rsidRPr="009E1AF9">
        <w:rPr>
          <w:rFonts w:ascii="Garamond" w:hAnsi="Garamond" w:cs="Arial"/>
          <w:iCs/>
          <w:color w:val="000000" w:themeColor="text1"/>
          <w:sz w:val="24"/>
          <w:szCs w:val="24"/>
        </w:rPr>
        <w:t xml:space="preserve">ery specific data </w:t>
      </w:r>
      <w:r w:rsidRPr="009E1AF9">
        <w:rPr>
          <w:rFonts w:ascii="Garamond" w:hAnsi="Garamond" w:cs="Arial"/>
          <w:iCs/>
          <w:color w:val="000000" w:themeColor="text1"/>
          <w:sz w:val="24"/>
          <w:szCs w:val="24"/>
        </w:rPr>
        <w:t xml:space="preserve">requirements include number of </w:t>
      </w:r>
      <w:r w:rsidR="006B275C" w:rsidRPr="009E1AF9">
        <w:rPr>
          <w:rFonts w:ascii="Garamond" w:hAnsi="Garamond" w:cs="Arial"/>
          <w:iCs/>
          <w:color w:val="000000" w:themeColor="text1"/>
          <w:sz w:val="24"/>
          <w:szCs w:val="24"/>
        </w:rPr>
        <w:t xml:space="preserve">people in </w:t>
      </w:r>
      <w:r w:rsidRPr="009E1AF9">
        <w:rPr>
          <w:rFonts w:ascii="Garamond" w:hAnsi="Garamond" w:cs="Arial"/>
          <w:iCs/>
          <w:color w:val="000000" w:themeColor="text1"/>
          <w:sz w:val="24"/>
          <w:szCs w:val="24"/>
        </w:rPr>
        <w:t>a</w:t>
      </w:r>
      <w:r w:rsidR="006B275C" w:rsidRPr="009E1AF9">
        <w:rPr>
          <w:rFonts w:ascii="Garamond" w:hAnsi="Garamond" w:cs="Arial"/>
          <w:iCs/>
          <w:color w:val="000000" w:themeColor="text1"/>
          <w:sz w:val="24"/>
          <w:szCs w:val="24"/>
        </w:rPr>
        <w:t xml:space="preserve"> household, how many bedrooms in </w:t>
      </w:r>
      <w:r w:rsidRPr="009E1AF9">
        <w:rPr>
          <w:rFonts w:ascii="Garamond" w:hAnsi="Garamond" w:cs="Arial"/>
          <w:iCs/>
          <w:color w:val="000000" w:themeColor="text1"/>
          <w:sz w:val="24"/>
          <w:szCs w:val="24"/>
        </w:rPr>
        <w:t>a unit, etc. </w:t>
      </w:r>
    </w:p>
    <w:p w:rsidR="009E1AF9" w:rsidRPr="009E1AF9" w:rsidRDefault="009E1AF9" w:rsidP="009E1AF9">
      <w:pPr>
        <w:spacing w:after="0" w:line="240" w:lineRule="auto"/>
        <w:rPr>
          <w:rFonts w:ascii="Garamond" w:hAnsi="Garamond" w:cs="Arial"/>
          <w:b/>
          <w:iCs/>
          <w:color w:val="000000" w:themeColor="text1"/>
          <w:sz w:val="24"/>
          <w:szCs w:val="24"/>
        </w:rPr>
      </w:pPr>
    </w:p>
    <w:p w:rsidR="006B275C" w:rsidRPr="009E1AF9" w:rsidRDefault="006B275C" w:rsidP="009E1AF9">
      <w:pPr>
        <w:pStyle w:val="ListParagraph"/>
        <w:numPr>
          <w:ilvl w:val="0"/>
          <w:numId w:val="1"/>
        </w:numPr>
        <w:spacing w:after="0" w:line="240" w:lineRule="auto"/>
        <w:ind w:left="360"/>
        <w:rPr>
          <w:rFonts w:ascii="Garamond" w:hAnsi="Garamond" w:cs="Arial"/>
          <w:b/>
          <w:iCs/>
          <w:color w:val="000000" w:themeColor="text1"/>
          <w:sz w:val="24"/>
          <w:szCs w:val="24"/>
        </w:rPr>
      </w:pPr>
      <w:r w:rsidRPr="009E1AF9">
        <w:rPr>
          <w:rFonts w:ascii="Garamond" w:hAnsi="Garamond" w:cs="Arial"/>
          <w:b/>
          <w:iCs/>
          <w:color w:val="000000" w:themeColor="text1"/>
          <w:sz w:val="24"/>
          <w:szCs w:val="24"/>
        </w:rPr>
        <w:t xml:space="preserve">HMIS </w:t>
      </w:r>
      <w:r w:rsidR="009E1AF9" w:rsidRPr="009E1AF9">
        <w:rPr>
          <w:rFonts w:ascii="Garamond" w:hAnsi="Garamond" w:cs="Arial"/>
          <w:b/>
          <w:iCs/>
          <w:color w:val="000000" w:themeColor="text1"/>
          <w:sz w:val="24"/>
          <w:szCs w:val="24"/>
        </w:rPr>
        <w:t>D</w:t>
      </w:r>
      <w:r w:rsidRPr="009E1AF9">
        <w:rPr>
          <w:rFonts w:ascii="Garamond" w:hAnsi="Garamond" w:cs="Arial"/>
          <w:b/>
          <w:iCs/>
          <w:color w:val="000000" w:themeColor="text1"/>
          <w:sz w:val="24"/>
          <w:szCs w:val="24"/>
        </w:rPr>
        <w:t xml:space="preserve">ata </w:t>
      </w:r>
      <w:r w:rsidR="009E1AF9" w:rsidRPr="009E1AF9">
        <w:rPr>
          <w:rFonts w:ascii="Garamond" w:hAnsi="Garamond" w:cs="Arial"/>
          <w:b/>
          <w:iCs/>
          <w:color w:val="000000" w:themeColor="text1"/>
          <w:sz w:val="24"/>
          <w:szCs w:val="24"/>
        </w:rPr>
        <w:t>S</w:t>
      </w:r>
      <w:r w:rsidRPr="009E1AF9">
        <w:rPr>
          <w:rFonts w:ascii="Garamond" w:hAnsi="Garamond" w:cs="Arial"/>
          <w:b/>
          <w:iCs/>
          <w:color w:val="000000" w:themeColor="text1"/>
          <w:sz w:val="24"/>
          <w:szCs w:val="24"/>
        </w:rPr>
        <w:t>tandards</w:t>
      </w:r>
    </w:p>
    <w:p w:rsidR="009E1AF9" w:rsidRPr="009E1AF9" w:rsidRDefault="009E1AF9" w:rsidP="009E1AF9">
      <w:pPr>
        <w:numPr>
          <w:ilvl w:val="0"/>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HMIS stands for Homeless Management Information System.  This system is funded in part by a Federal Continuum of Care grant, is used to record and share information among service-providers regarding services provided to homeless and near homeless clients.</w:t>
      </w:r>
    </w:p>
    <w:p w:rsidR="006B275C" w:rsidRPr="009E1AF9" w:rsidRDefault="009E1AF9" w:rsidP="009E1AF9">
      <w:pPr>
        <w:numPr>
          <w:ilvl w:val="0"/>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 xml:space="preserve">There are no contract-specific requirements concerning HMIS, </w:t>
      </w:r>
      <w:r w:rsidR="006B275C" w:rsidRPr="009E1AF9">
        <w:rPr>
          <w:rFonts w:ascii="Garamond" w:hAnsi="Garamond" w:cs="Arial"/>
          <w:iCs/>
          <w:color w:val="000000" w:themeColor="text1"/>
          <w:sz w:val="24"/>
          <w:szCs w:val="24"/>
        </w:rPr>
        <w:t xml:space="preserve">but </w:t>
      </w:r>
      <w:r w:rsidRPr="009E1AF9">
        <w:rPr>
          <w:rFonts w:ascii="Garamond" w:hAnsi="Garamond" w:cs="Arial"/>
          <w:iCs/>
          <w:color w:val="000000" w:themeColor="text1"/>
          <w:sz w:val="24"/>
          <w:szCs w:val="24"/>
        </w:rPr>
        <w:t>for those contract managers that manage s</w:t>
      </w:r>
      <w:r w:rsidR="006B275C" w:rsidRPr="009E1AF9">
        <w:rPr>
          <w:rFonts w:ascii="Garamond" w:hAnsi="Garamond" w:cs="Arial"/>
          <w:iCs/>
          <w:color w:val="000000" w:themeColor="text1"/>
          <w:sz w:val="24"/>
          <w:szCs w:val="24"/>
        </w:rPr>
        <w:t>ubrecipients using Servicepoint</w:t>
      </w:r>
      <w:r w:rsidRPr="009E1AF9">
        <w:rPr>
          <w:rFonts w:ascii="Garamond" w:hAnsi="Garamond" w:cs="Arial"/>
          <w:iCs/>
          <w:color w:val="000000" w:themeColor="text1"/>
          <w:sz w:val="24"/>
          <w:szCs w:val="24"/>
        </w:rPr>
        <w:t xml:space="preserve"> (i.e., the HMIS system),</w:t>
      </w:r>
      <w:r w:rsidR="006B275C" w:rsidRPr="009E1AF9">
        <w:rPr>
          <w:rFonts w:ascii="Garamond" w:hAnsi="Garamond" w:cs="Arial"/>
          <w:iCs/>
          <w:color w:val="000000" w:themeColor="text1"/>
          <w:sz w:val="24"/>
          <w:szCs w:val="24"/>
        </w:rPr>
        <w:t xml:space="preserve"> the CM must understand:</w:t>
      </w:r>
    </w:p>
    <w:p w:rsidR="006B275C" w:rsidRPr="009E1AF9" w:rsidRDefault="006B275C" w:rsidP="009E1AF9">
      <w:pPr>
        <w:numPr>
          <w:ilvl w:val="1"/>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Basic HMIS requirements and what that means for data the subrecipient tracks</w:t>
      </w:r>
    </w:p>
    <w:p w:rsidR="006B275C" w:rsidRPr="009E1AF9" w:rsidRDefault="006B275C" w:rsidP="009E1AF9">
      <w:pPr>
        <w:numPr>
          <w:ilvl w:val="1"/>
          <w:numId w:val="2"/>
        </w:numPr>
        <w:spacing w:after="0" w:line="240" w:lineRule="auto"/>
        <w:rPr>
          <w:rFonts w:ascii="Garamond" w:hAnsi="Garamond" w:cs="Arial"/>
          <w:iCs/>
          <w:color w:val="000000" w:themeColor="text1"/>
          <w:sz w:val="24"/>
          <w:szCs w:val="24"/>
        </w:rPr>
      </w:pPr>
      <w:r w:rsidRPr="009E1AF9">
        <w:rPr>
          <w:rFonts w:ascii="Garamond" w:hAnsi="Garamond" w:cs="Arial"/>
          <w:iCs/>
          <w:color w:val="000000" w:themeColor="text1"/>
          <w:sz w:val="24"/>
          <w:szCs w:val="24"/>
        </w:rPr>
        <w:t>The 3 standard HMIS reports</w:t>
      </w:r>
    </w:p>
    <w:p w:rsidR="009E1AF9" w:rsidRPr="009E1AF9" w:rsidRDefault="009E1AF9" w:rsidP="009E1AF9">
      <w:pPr>
        <w:spacing w:after="0" w:line="240" w:lineRule="auto"/>
        <w:ind w:left="720"/>
        <w:rPr>
          <w:rFonts w:ascii="Garamond" w:hAnsi="Garamond" w:cs="Arial"/>
          <w:iCs/>
          <w:color w:val="000000" w:themeColor="text1"/>
          <w:sz w:val="24"/>
          <w:szCs w:val="24"/>
        </w:rPr>
      </w:pPr>
      <w:r w:rsidRPr="009E1AF9">
        <w:rPr>
          <w:rFonts w:ascii="Garamond" w:hAnsi="Garamond" w:cs="Arial"/>
          <w:iCs/>
          <w:color w:val="000000" w:themeColor="text1"/>
          <w:sz w:val="24"/>
          <w:szCs w:val="24"/>
        </w:rPr>
        <w:t>For more information regarding these two requirements, contract managers should contact the PHB Business Analysis, Research &amp; IT Team.</w:t>
      </w:r>
    </w:p>
    <w:p w:rsidR="006B275C" w:rsidRPr="009E1AF9" w:rsidRDefault="006B275C" w:rsidP="006B275C">
      <w:pPr>
        <w:spacing w:after="0" w:line="240" w:lineRule="auto"/>
        <w:ind w:left="720"/>
        <w:rPr>
          <w:rFonts w:ascii="Garamond" w:hAnsi="Garamond" w:cs="Arial"/>
          <w:iCs/>
          <w:color w:val="000000" w:themeColor="text1"/>
          <w:sz w:val="24"/>
          <w:szCs w:val="24"/>
        </w:rPr>
      </w:pPr>
    </w:p>
    <w:p w:rsidR="006B275C" w:rsidRPr="009E1AF9" w:rsidRDefault="006B275C" w:rsidP="0069194B">
      <w:pPr>
        <w:numPr>
          <w:ilvl w:val="0"/>
          <w:numId w:val="1"/>
        </w:numPr>
        <w:spacing w:after="0" w:line="240" w:lineRule="auto"/>
        <w:ind w:left="360"/>
        <w:rPr>
          <w:rFonts w:ascii="Garamond" w:hAnsi="Garamond" w:cs="Arial"/>
          <w:b/>
          <w:iCs/>
          <w:color w:val="000000" w:themeColor="text1"/>
          <w:sz w:val="24"/>
          <w:szCs w:val="24"/>
        </w:rPr>
      </w:pPr>
      <w:r w:rsidRPr="009E1AF9">
        <w:rPr>
          <w:rFonts w:ascii="Garamond" w:hAnsi="Garamond" w:cs="Arial"/>
          <w:b/>
          <w:iCs/>
          <w:color w:val="000000" w:themeColor="text1"/>
          <w:sz w:val="24"/>
          <w:szCs w:val="24"/>
        </w:rPr>
        <w:t>Bureau &amp; Strategic Plan Goals</w:t>
      </w:r>
    </w:p>
    <w:p w:rsidR="001857D1" w:rsidRPr="0069194B" w:rsidRDefault="0069194B" w:rsidP="008743DB">
      <w:pPr>
        <w:numPr>
          <w:ilvl w:val="0"/>
          <w:numId w:val="3"/>
        </w:numPr>
        <w:spacing w:after="0" w:line="240" w:lineRule="auto"/>
        <w:ind w:left="900"/>
        <w:rPr>
          <w:rFonts w:ascii="Garamond" w:hAnsi="Garamond" w:cs="Arial"/>
          <w:iCs/>
          <w:color w:val="000000" w:themeColor="text1"/>
          <w:sz w:val="24"/>
          <w:szCs w:val="24"/>
        </w:rPr>
      </w:pPr>
      <w:r w:rsidRPr="0069194B">
        <w:rPr>
          <w:rFonts w:ascii="Garamond" w:hAnsi="Garamond" w:cs="Arial"/>
          <w:iCs/>
          <w:color w:val="000000" w:themeColor="text1"/>
          <w:sz w:val="24"/>
          <w:szCs w:val="24"/>
        </w:rPr>
        <w:t>PHB refines organizationa</w:t>
      </w:r>
      <w:r>
        <w:rPr>
          <w:rFonts w:ascii="Garamond" w:hAnsi="Garamond" w:cs="Arial"/>
          <w:iCs/>
          <w:color w:val="000000" w:themeColor="text1"/>
          <w:sz w:val="24"/>
          <w:szCs w:val="24"/>
        </w:rPr>
        <w:t>l goals over the course of time.  C</w:t>
      </w:r>
      <w:r w:rsidR="006B275C" w:rsidRPr="0069194B">
        <w:rPr>
          <w:rFonts w:ascii="Garamond" w:hAnsi="Garamond" w:cs="Arial"/>
          <w:iCs/>
          <w:color w:val="000000" w:themeColor="text1"/>
          <w:sz w:val="24"/>
          <w:szCs w:val="24"/>
        </w:rPr>
        <w:t>ontract performance measures must align with these bureau goals</w:t>
      </w:r>
      <w:r>
        <w:rPr>
          <w:rFonts w:ascii="Garamond" w:hAnsi="Garamond" w:cs="Arial"/>
          <w:iCs/>
          <w:color w:val="000000" w:themeColor="text1"/>
          <w:sz w:val="24"/>
          <w:szCs w:val="24"/>
        </w:rPr>
        <w:t xml:space="preserve">.  For example, in FY 2012/13 as part of its Equity </w:t>
      </w:r>
      <w:r>
        <w:rPr>
          <w:rFonts w:ascii="Garamond" w:hAnsi="Garamond" w:cs="Arial"/>
          <w:iCs/>
          <w:color w:val="000000" w:themeColor="text1"/>
          <w:sz w:val="24"/>
          <w:szCs w:val="24"/>
        </w:rPr>
        <w:lastRenderedPageBreak/>
        <w:t>Business Plan, PHB is working with subrecipients to improve delivery of services to historically-underserved communities of color.</w:t>
      </w:r>
    </w:p>
    <w:sectPr w:rsidR="001857D1" w:rsidRPr="0069194B" w:rsidSect="00997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403"/>
    <w:multiLevelType w:val="hybridMultilevel"/>
    <w:tmpl w:val="0BDC756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B92751"/>
    <w:multiLevelType w:val="hybridMultilevel"/>
    <w:tmpl w:val="F2E6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74C5D"/>
    <w:multiLevelType w:val="hybridMultilevel"/>
    <w:tmpl w:val="90464B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BA7F3B"/>
    <w:multiLevelType w:val="hybridMultilevel"/>
    <w:tmpl w:val="8284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FC3F2B"/>
    <w:multiLevelType w:val="hybridMultilevel"/>
    <w:tmpl w:val="29643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43DB"/>
    <w:rsid w:val="001857D1"/>
    <w:rsid w:val="00373595"/>
    <w:rsid w:val="003C0397"/>
    <w:rsid w:val="004131B3"/>
    <w:rsid w:val="005612C8"/>
    <w:rsid w:val="0069194B"/>
    <w:rsid w:val="006B275C"/>
    <w:rsid w:val="006B63D5"/>
    <w:rsid w:val="00815392"/>
    <w:rsid w:val="008743DB"/>
    <w:rsid w:val="00884B6A"/>
    <w:rsid w:val="008A2F0B"/>
    <w:rsid w:val="00997B7C"/>
    <w:rsid w:val="009E1AF9"/>
    <w:rsid w:val="00C90EBB"/>
    <w:rsid w:val="00CC343D"/>
    <w:rsid w:val="00D56527"/>
    <w:rsid w:val="00E73B7D"/>
    <w:rsid w:val="00E9510A"/>
    <w:rsid w:val="00F35AB6"/>
    <w:rsid w:val="00FF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pstewart</dc:creator>
  <cp:lastModifiedBy>pstewart</cp:lastModifiedBy>
  <cp:revision>7</cp:revision>
  <dcterms:created xsi:type="dcterms:W3CDTF">2011-11-28T18:31:00Z</dcterms:created>
  <dcterms:modified xsi:type="dcterms:W3CDTF">2012-10-26T15:03:00Z</dcterms:modified>
</cp:coreProperties>
</file>