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98FAE2" w14:textId="77777777" w:rsidR="00182BC2" w:rsidRPr="00121A16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bookmarkStart w:id="0" w:name="_GoBack"/>
      <w:bookmarkEnd w:id="0"/>
      <w:r w:rsidRPr="00121A16">
        <w:rPr>
          <w:rFonts w:ascii="Calibri" w:hAnsi="Calibri" w:cs="Calibri"/>
          <w:sz w:val="22"/>
          <w:szCs w:val="22"/>
        </w:rPr>
        <w:t xml:space="preserve">March </w:t>
      </w:r>
      <w:r>
        <w:rPr>
          <w:rFonts w:ascii="Calibri" w:hAnsi="Calibri" w:cs="Calibri"/>
          <w:sz w:val="22"/>
          <w:szCs w:val="22"/>
        </w:rPr>
        <w:t>10</w:t>
      </w:r>
      <w:r w:rsidRPr="00121A16">
        <w:rPr>
          <w:rFonts w:ascii="Calibri" w:hAnsi="Calibri" w:cs="Calibri"/>
          <w:sz w:val="22"/>
          <w:szCs w:val="22"/>
        </w:rPr>
        <w:t>, 2020</w:t>
      </w:r>
    </w:p>
    <w:p w14:paraId="2DDD9F99" w14:textId="77777777" w:rsidR="00182BC2" w:rsidRPr="00121A16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121A16">
        <w:rPr>
          <w:rFonts w:ascii="Calibri" w:hAnsi="Calibri" w:cs="Calibri"/>
          <w:sz w:val="22"/>
          <w:szCs w:val="22"/>
        </w:rPr>
        <w:t> </w:t>
      </w:r>
    </w:p>
    <w:p w14:paraId="2A406ED9" w14:textId="77777777" w:rsidR="00182BC2" w:rsidRPr="00121A16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121A16">
        <w:rPr>
          <w:rFonts w:ascii="Calibri" w:hAnsi="Calibri" w:cs="Calibri"/>
          <w:sz w:val="22"/>
          <w:szCs w:val="22"/>
        </w:rPr>
        <w:t> </w:t>
      </w:r>
    </w:p>
    <w:p w14:paraId="04E95281" w14:textId="77777777" w:rsidR="00182BC2" w:rsidRPr="00121A16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121A16">
        <w:rPr>
          <w:rFonts w:ascii="Calibri" w:hAnsi="Calibri" w:cs="Calibri"/>
          <w:sz w:val="22"/>
          <w:szCs w:val="22"/>
        </w:rPr>
        <w:t>To:  Portland Design Commission</w:t>
      </w:r>
    </w:p>
    <w:p w14:paraId="060EBFE9" w14:textId="77777777" w:rsidR="00182BC2" w:rsidRPr="00121A16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121A16">
        <w:rPr>
          <w:rFonts w:ascii="Calibri" w:hAnsi="Calibri" w:cs="Calibri"/>
          <w:sz w:val="22"/>
          <w:szCs w:val="22"/>
        </w:rPr>
        <w:t xml:space="preserve">From: </w:t>
      </w:r>
      <w:r>
        <w:rPr>
          <w:rFonts w:ascii="Calibri" w:hAnsi="Calibri" w:cs="Calibri"/>
          <w:sz w:val="22"/>
          <w:szCs w:val="22"/>
        </w:rPr>
        <w:t>Jeanne Galick</w:t>
      </w:r>
    </w:p>
    <w:p w14:paraId="7EE50517" w14:textId="77777777" w:rsidR="00182BC2" w:rsidRPr="00121A16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121A16">
        <w:rPr>
          <w:rFonts w:ascii="Calibri" w:hAnsi="Calibri" w:cs="Calibri"/>
          <w:sz w:val="22"/>
          <w:szCs w:val="22"/>
        </w:rPr>
        <w:t>Re:  LU 20-102914, Alamo Manhattan</w:t>
      </w:r>
      <w:r>
        <w:rPr>
          <w:rFonts w:ascii="Calibri" w:hAnsi="Calibri" w:cs="Calibri"/>
          <w:sz w:val="22"/>
          <w:szCs w:val="22"/>
        </w:rPr>
        <w:t xml:space="preserve"> c</w:t>
      </w:r>
      <w:r w:rsidRPr="00121A16">
        <w:rPr>
          <w:rFonts w:ascii="Calibri" w:hAnsi="Calibri" w:cs="Calibri"/>
          <w:sz w:val="22"/>
          <w:szCs w:val="22"/>
        </w:rPr>
        <w:t>omments</w:t>
      </w:r>
    </w:p>
    <w:p w14:paraId="33012D15" w14:textId="77777777" w:rsidR="00182BC2" w:rsidRPr="00121A16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121A16">
        <w:rPr>
          <w:rFonts w:ascii="Calibri" w:hAnsi="Calibri" w:cs="Calibri"/>
          <w:sz w:val="22"/>
          <w:szCs w:val="22"/>
        </w:rPr>
        <w:t> </w:t>
      </w:r>
    </w:p>
    <w:p w14:paraId="4F2B3D7E" w14:textId="77777777" w:rsidR="00182BC2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121A16">
        <w:rPr>
          <w:rFonts w:ascii="Calibri" w:hAnsi="Calibri" w:cs="Calibri"/>
          <w:sz w:val="22"/>
          <w:szCs w:val="22"/>
        </w:rPr>
        <w:t>Chair Livingston and Commissioners,</w:t>
      </w:r>
    </w:p>
    <w:p w14:paraId="48E2F3D3" w14:textId="77777777" w:rsidR="00182BC2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45B0B274" w14:textId="77777777" w:rsidR="00182BC2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Please consider these follow-up comments on both the topics raised at the hearing and commission discussion. </w:t>
      </w:r>
    </w:p>
    <w:p w14:paraId="26BAECF3" w14:textId="77777777" w:rsidR="00182BC2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6C20F3D3" w14:textId="113A0075" w:rsidR="00182BC2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Most troubling is the use of the greenway bonus. Where is it? Tucked into corners and up against the buildings. It neither functions nor appears public. It </w:t>
      </w:r>
      <w:r w:rsidR="008D39A7">
        <w:rPr>
          <w:rFonts w:ascii="Calibri" w:hAnsi="Calibri" w:cs="Calibri"/>
          <w:sz w:val="22"/>
          <w:szCs w:val="22"/>
        </w:rPr>
        <w:t xml:space="preserve">may </w:t>
      </w:r>
      <w:r>
        <w:rPr>
          <w:rFonts w:ascii="Calibri" w:hAnsi="Calibri" w:cs="Calibri"/>
          <w:sz w:val="22"/>
          <w:szCs w:val="22"/>
        </w:rPr>
        <w:t>increase the greenway technically but not usefully. It is a misuse of the bonus and should be denied.</w:t>
      </w:r>
    </w:p>
    <w:p w14:paraId="4736E5C8" w14:textId="77777777" w:rsidR="00182BC2" w:rsidRPr="006609E7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b/>
          <w:sz w:val="22"/>
          <w:szCs w:val="22"/>
        </w:rPr>
      </w:pPr>
      <w:r w:rsidRPr="006609E7">
        <w:rPr>
          <w:rFonts w:ascii="Calibri" w:hAnsi="Calibri" w:cs="Calibri"/>
          <w:b/>
          <w:sz w:val="22"/>
          <w:szCs w:val="22"/>
        </w:rPr>
        <w:t>Their plan doesn’t meet minimum standards</w:t>
      </w:r>
      <w:r w:rsidR="006609E7">
        <w:rPr>
          <w:rFonts w:ascii="Calibri" w:hAnsi="Calibri" w:cs="Calibri"/>
          <w:b/>
          <w:sz w:val="22"/>
          <w:szCs w:val="22"/>
        </w:rPr>
        <w:t>,</w:t>
      </w:r>
      <w:r w:rsidRPr="006609E7">
        <w:rPr>
          <w:rFonts w:ascii="Calibri" w:hAnsi="Calibri" w:cs="Calibri"/>
          <w:b/>
          <w:sz w:val="22"/>
          <w:szCs w:val="22"/>
        </w:rPr>
        <w:t xml:space="preserve"> let alone rising to the benchmark of </w:t>
      </w:r>
      <w:r w:rsidR="0041035E" w:rsidRPr="006609E7">
        <w:rPr>
          <w:rFonts w:ascii="Calibri" w:hAnsi="Calibri" w:cs="Calibri"/>
          <w:b/>
          <w:sz w:val="22"/>
          <w:szCs w:val="22"/>
        </w:rPr>
        <w:t>“better enhance the natural, scenic, historic, economic, recreational, public access, fish and wildlife habitat and stormwater management qualities.”</w:t>
      </w:r>
    </w:p>
    <w:p w14:paraId="2019F483" w14:textId="77777777" w:rsidR="00182BC2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0B78DC88" w14:textId="77777777" w:rsidR="00182BC2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Adding insult to injury, the applicant has turned down additional funding from both Prosper Portland and Portland Parks to enhance the greenway. </w:t>
      </w:r>
    </w:p>
    <w:p w14:paraId="36B10095" w14:textId="77777777" w:rsidR="0000538A" w:rsidRDefault="0000538A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3F70304B" w14:textId="05B9FDE2" w:rsidR="0000538A" w:rsidRDefault="0000538A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There was some discussion as to </w:t>
      </w:r>
      <w:r w:rsidRPr="0000538A">
        <w:rPr>
          <w:rFonts w:ascii="Calibri" w:hAnsi="Calibri" w:cs="Calibri"/>
          <w:b/>
          <w:sz w:val="22"/>
          <w:szCs w:val="22"/>
        </w:rPr>
        <w:t>what enhancement means</w:t>
      </w:r>
      <w:r>
        <w:rPr>
          <w:rFonts w:ascii="Calibri" w:hAnsi="Calibri" w:cs="Calibri"/>
          <w:sz w:val="22"/>
          <w:szCs w:val="22"/>
        </w:rPr>
        <w:t xml:space="preserve">. The Greenway Master Plan vividly demonstrates the city’s vision for this stretch. Just to the north, </w:t>
      </w:r>
      <w:r w:rsidR="008D39A7">
        <w:rPr>
          <w:rFonts w:ascii="Calibri" w:hAnsi="Calibri" w:cs="Calibri"/>
          <w:sz w:val="22"/>
          <w:szCs w:val="22"/>
        </w:rPr>
        <w:t xml:space="preserve">where </w:t>
      </w:r>
      <w:r>
        <w:rPr>
          <w:rFonts w:ascii="Calibri" w:hAnsi="Calibri" w:cs="Calibri"/>
          <w:sz w:val="22"/>
          <w:szCs w:val="22"/>
        </w:rPr>
        <w:t xml:space="preserve">the plan has been implemented, </w:t>
      </w:r>
      <w:r w:rsidR="008D39A7">
        <w:rPr>
          <w:rFonts w:ascii="Calibri" w:hAnsi="Calibri" w:cs="Calibri"/>
          <w:sz w:val="22"/>
          <w:szCs w:val="22"/>
        </w:rPr>
        <w:t>it includes</w:t>
      </w:r>
      <w:r>
        <w:rPr>
          <w:rFonts w:ascii="Calibri" w:hAnsi="Calibri" w:cs="Calibri"/>
          <w:sz w:val="22"/>
          <w:szCs w:val="22"/>
        </w:rPr>
        <w:t xml:space="preserve">; </w:t>
      </w:r>
      <w:r w:rsidR="00F8295F">
        <w:rPr>
          <w:rFonts w:ascii="Calibri" w:hAnsi="Calibri" w:cs="Calibri"/>
          <w:sz w:val="22"/>
          <w:szCs w:val="22"/>
        </w:rPr>
        <w:t xml:space="preserve">riparian restoration of the bank; </w:t>
      </w:r>
      <w:r>
        <w:rPr>
          <w:rFonts w:ascii="Calibri" w:hAnsi="Calibri" w:cs="Calibri"/>
          <w:sz w:val="22"/>
          <w:szCs w:val="22"/>
        </w:rPr>
        <w:t xml:space="preserve">a very deep setback </w:t>
      </w:r>
      <w:r w:rsidRPr="0000538A">
        <w:rPr>
          <w:rFonts w:ascii="Calibri" w:hAnsi="Calibri" w:cs="Calibri"/>
          <w:i/>
          <w:sz w:val="22"/>
          <w:szCs w:val="22"/>
        </w:rPr>
        <w:t>after</w:t>
      </w:r>
      <w:r>
        <w:rPr>
          <w:rFonts w:ascii="Calibri" w:hAnsi="Calibri" w:cs="Calibri"/>
          <w:sz w:val="22"/>
          <w:szCs w:val="22"/>
        </w:rPr>
        <w:t xml:space="preserve"> the bank has been laid back</w:t>
      </w:r>
      <w:r w:rsidR="008D39A7">
        <w:rPr>
          <w:rFonts w:ascii="Calibri" w:hAnsi="Calibri" w:cs="Calibri"/>
          <w:sz w:val="22"/>
          <w:szCs w:val="22"/>
        </w:rPr>
        <w:t xml:space="preserve"> (100 feet or more)</w:t>
      </w:r>
      <w:r>
        <w:rPr>
          <w:rFonts w:ascii="Calibri" w:hAnsi="Calibri" w:cs="Calibri"/>
          <w:sz w:val="22"/>
          <w:szCs w:val="22"/>
        </w:rPr>
        <w:t>; native plants and trees</w:t>
      </w:r>
      <w:r w:rsidR="00F8295F">
        <w:rPr>
          <w:rFonts w:ascii="Calibri" w:hAnsi="Calibri" w:cs="Calibri"/>
          <w:sz w:val="22"/>
          <w:szCs w:val="22"/>
        </w:rPr>
        <w:t>;</w:t>
      </w:r>
      <w:r>
        <w:rPr>
          <w:rFonts w:ascii="Calibri" w:hAnsi="Calibri" w:cs="Calibri"/>
          <w:sz w:val="22"/>
          <w:szCs w:val="22"/>
        </w:rPr>
        <w:t xml:space="preserve"> physical differences in elevation between private and public buildings</w:t>
      </w:r>
      <w:r w:rsidR="00F8295F">
        <w:rPr>
          <w:rFonts w:ascii="Calibri" w:hAnsi="Calibri" w:cs="Calibri"/>
          <w:sz w:val="22"/>
          <w:szCs w:val="22"/>
        </w:rPr>
        <w:t>;</w:t>
      </w:r>
      <w:r>
        <w:rPr>
          <w:rFonts w:ascii="Calibri" w:hAnsi="Calibri" w:cs="Calibri"/>
          <w:sz w:val="22"/>
          <w:szCs w:val="22"/>
        </w:rPr>
        <w:t xml:space="preserve"> </w:t>
      </w:r>
      <w:r w:rsidR="00F8295F">
        <w:rPr>
          <w:rFonts w:ascii="Calibri" w:hAnsi="Calibri" w:cs="Calibri"/>
          <w:sz w:val="22"/>
          <w:szCs w:val="22"/>
        </w:rPr>
        <w:t>building</w:t>
      </w:r>
      <w:r>
        <w:rPr>
          <w:rFonts w:ascii="Calibri" w:hAnsi="Calibri" w:cs="Calibri"/>
          <w:sz w:val="22"/>
          <w:szCs w:val="22"/>
        </w:rPr>
        <w:t xml:space="preserve"> articulation</w:t>
      </w:r>
      <w:r w:rsidR="00F8295F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>with 2-4 story structures facing the greenway</w:t>
      </w:r>
      <w:r w:rsidR="00F8295F">
        <w:rPr>
          <w:rFonts w:ascii="Calibri" w:hAnsi="Calibri" w:cs="Calibri"/>
          <w:sz w:val="22"/>
          <w:szCs w:val="22"/>
        </w:rPr>
        <w:t>; commissioned artwork, rather then found objects.</w:t>
      </w:r>
      <w:r>
        <w:rPr>
          <w:rFonts w:ascii="Calibri" w:hAnsi="Calibri" w:cs="Calibri"/>
          <w:sz w:val="22"/>
          <w:szCs w:val="22"/>
        </w:rPr>
        <w:t xml:space="preserve"> </w:t>
      </w:r>
      <w:r w:rsidR="00E13264">
        <w:rPr>
          <w:rFonts w:ascii="Calibri" w:hAnsi="Calibri" w:cs="Calibri"/>
          <w:sz w:val="22"/>
          <w:szCs w:val="22"/>
        </w:rPr>
        <w:t xml:space="preserve"> Examples below.</w:t>
      </w:r>
    </w:p>
    <w:p w14:paraId="4DF970C2" w14:textId="77777777" w:rsidR="00E13264" w:rsidRDefault="00E13264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79D307A8" w14:textId="68EDBBF4" w:rsidR="008E2D40" w:rsidRDefault="008E2D40" w:rsidP="008E2D40">
      <w:pPr>
        <w:widowControl w:val="0"/>
        <w:autoSpaceDE w:val="0"/>
        <w:autoSpaceDN w:val="0"/>
        <w:adjustRightInd w:val="0"/>
        <w:ind w:right="-36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7FC3151E" wp14:editId="034678D8">
            <wp:extent cx="4230915" cy="3173186"/>
            <wp:effectExtent l="0" t="0" r="1143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893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0915" cy="317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 wp14:anchorId="035075BB" wp14:editId="7357E24D">
            <wp:extent cx="4114800" cy="3086100"/>
            <wp:effectExtent l="0" t="0" r="0" b="127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9A6A0" w14:textId="77777777" w:rsidR="008E2D40" w:rsidRDefault="008E2D40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75678F33" w14:textId="24A02FE2" w:rsidR="00E13264" w:rsidRDefault="00E13264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The greenway is a regional recreation and transportation corridor. With this link, the </w:t>
      </w:r>
      <w:proofErr w:type="spellStart"/>
      <w:r>
        <w:rPr>
          <w:rFonts w:ascii="Calibri" w:hAnsi="Calibri" w:cs="Calibri"/>
          <w:sz w:val="22"/>
          <w:szCs w:val="22"/>
        </w:rPr>
        <w:t>Sellwood</w:t>
      </w:r>
      <w:proofErr w:type="spellEnd"/>
      <w:r>
        <w:rPr>
          <w:rFonts w:ascii="Calibri" w:hAnsi="Calibri" w:cs="Calibri"/>
          <w:sz w:val="22"/>
          <w:szCs w:val="22"/>
        </w:rPr>
        <w:t xml:space="preserve"> Bridge will be connected to downtown. With the substantial increase in both public users and new residents, a wider greenway is necessary. </w:t>
      </w:r>
    </w:p>
    <w:p w14:paraId="20ED97BB" w14:textId="77777777" w:rsidR="00F8295F" w:rsidRDefault="00F8295F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01CB0531" w14:textId="6492D72E" w:rsidR="009E5372" w:rsidRDefault="006609E7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 w:rsidRPr="006609E7">
        <w:rPr>
          <w:rFonts w:ascii="Calibri" w:hAnsi="Calibri" w:cs="Calibri"/>
          <w:b/>
          <w:sz w:val="22"/>
          <w:szCs w:val="22"/>
        </w:rPr>
        <w:t>Timing.</w:t>
      </w:r>
      <w:r>
        <w:rPr>
          <w:rFonts w:ascii="Calibri" w:hAnsi="Calibri" w:cs="Calibri"/>
          <w:sz w:val="22"/>
          <w:szCs w:val="22"/>
        </w:rPr>
        <w:t xml:space="preserve"> </w:t>
      </w:r>
      <w:r w:rsidR="00F8295F">
        <w:rPr>
          <w:rFonts w:ascii="Calibri" w:hAnsi="Calibri" w:cs="Calibri"/>
          <w:sz w:val="22"/>
          <w:szCs w:val="22"/>
        </w:rPr>
        <w:t xml:space="preserve">There was some discussion about installing a basic greenway now and enhancing it later. Please do not go forward with such a compromise. Who will ensure or enforce this to happen? On what timeline? My neighborhood’s experience is greenway enforcement is non-existent. The city is </w:t>
      </w:r>
      <w:r w:rsidR="008D39A7">
        <w:rPr>
          <w:rFonts w:ascii="Calibri" w:hAnsi="Calibri" w:cs="Calibri"/>
          <w:sz w:val="22"/>
          <w:szCs w:val="22"/>
        </w:rPr>
        <w:t>reluctant</w:t>
      </w:r>
      <w:r w:rsidR="00F8295F">
        <w:rPr>
          <w:rFonts w:ascii="Calibri" w:hAnsi="Calibri" w:cs="Calibri"/>
          <w:sz w:val="22"/>
          <w:szCs w:val="22"/>
        </w:rPr>
        <w:t xml:space="preserve"> to cit</w:t>
      </w:r>
      <w:r>
        <w:rPr>
          <w:rFonts w:ascii="Calibri" w:hAnsi="Calibri" w:cs="Calibri"/>
          <w:sz w:val="22"/>
          <w:szCs w:val="22"/>
        </w:rPr>
        <w:t>e violations</w:t>
      </w:r>
      <w:r w:rsidR="008D39A7">
        <w:rPr>
          <w:rFonts w:ascii="Calibri" w:hAnsi="Calibri" w:cs="Calibri"/>
          <w:sz w:val="22"/>
          <w:szCs w:val="22"/>
        </w:rPr>
        <w:t xml:space="preserve"> or enforce compliance</w:t>
      </w:r>
      <w:r>
        <w:rPr>
          <w:rFonts w:ascii="Calibri" w:hAnsi="Calibri" w:cs="Calibri"/>
          <w:sz w:val="22"/>
          <w:szCs w:val="22"/>
        </w:rPr>
        <w:t>.</w:t>
      </w:r>
      <w:r w:rsidR="00F8295F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 xml:space="preserve">This soft </w:t>
      </w:r>
      <w:r w:rsidR="008D39A7">
        <w:rPr>
          <w:rFonts w:ascii="Calibri" w:hAnsi="Calibri" w:cs="Calibri"/>
          <w:sz w:val="22"/>
          <w:szCs w:val="22"/>
        </w:rPr>
        <w:t>“</w:t>
      </w:r>
      <w:r>
        <w:rPr>
          <w:rFonts w:ascii="Calibri" w:hAnsi="Calibri" w:cs="Calibri"/>
          <w:sz w:val="22"/>
          <w:szCs w:val="22"/>
        </w:rPr>
        <w:t>solution</w:t>
      </w:r>
      <w:r w:rsidR="008D39A7">
        <w:rPr>
          <w:rFonts w:ascii="Calibri" w:hAnsi="Calibri" w:cs="Calibri"/>
          <w:sz w:val="22"/>
          <w:szCs w:val="22"/>
        </w:rPr>
        <w:t>”</w:t>
      </w:r>
      <w:r>
        <w:rPr>
          <w:rFonts w:ascii="Calibri" w:hAnsi="Calibri" w:cs="Calibri"/>
          <w:sz w:val="22"/>
          <w:szCs w:val="22"/>
        </w:rPr>
        <w:t xml:space="preserve"> is tantamount to ensuring it will never happen. </w:t>
      </w:r>
    </w:p>
    <w:p w14:paraId="0D918B14" w14:textId="77777777" w:rsidR="008E2D40" w:rsidRDefault="008E2D40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23912F59" w14:textId="16AC94C1" w:rsidR="008E2D40" w:rsidRDefault="009E537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The decision to submit under an earlier code to avoid environmental </w:t>
      </w:r>
      <w:proofErr w:type="gramStart"/>
      <w:r>
        <w:rPr>
          <w:rFonts w:ascii="Calibri" w:hAnsi="Calibri" w:cs="Calibri"/>
          <w:sz w:val="22"/>
          <w:szCs w:val="22"/>
        </w:rPr>
        <w:t>conditions  compounded</w:t>
      </w:r>
      <w:proofErr w:type="gramEnd"/>
      <w:r>
        <w:rPr>
          <w:rFonts w:ascii="Calibri" w:hAnsi="Calibri" w:cs="Calibri"/>
          <w:sz w:val="22"/>
          <w:szCs w:val="22"/>
        </w:rPr>
        <w:t xml:space="preserve"> with using the greenway bonus in a way that benefits their property rather than the public is reason enough to hold this applicant to the full intent and substance of each design standard. </w:t>
      </w:r>
    </w:p>
    <w:p w14:paraId="13D21BD6" w14:textId="77777777" w:rsidR="008E2D40" w:rsidRDefault="008E2D40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74EF9DD2" w14:textId="6BAA2CF8" w:rsidR="008E2D40" w:rsidRDefault="008E2D40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Jeanne Galick</w:t>
      </w:r>
    </w:p>
    <w:p w14:paraId="27867102" w14:textId="6C83B07E" w:rsidR="008E2D40" w:rsidRDefault="008E2D40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7005 SW Virginia Ave</w:t>
      </w:r>
    </w:p>
    <w:p w14:paraId="7A8C1EBA" w14:textId="1316B368" w:rsidR="008E2D40" w:rsidRDefault="008E2D40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Portland, OR 97219</w:t>
      </w:r>
    </w:p>
    <w:p w14:paraId="482405BC" w14:textId="77777777" w:rsidR="008D39A7" w:rsidRDefault="008D39A7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4B4D897D" w14:textId="56258E5A" w:rsidR="008D39A7" w:rsidRDefault="008D39A7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78A057B3" w14:textId="3EBB1135" w:rsidR="008D39A7" w:rsidRDefault="008D39A7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74ED9D91" w14:textId="77777777" w:rsidR="00182BC2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5AC2B424" w14:textId="77777777" w:rsidR="00182BC2" w:rsidRPr="00121A16" w:rsidRDefault="00182BC2" w:rsidP="00182BC2">
      <w:pPr>
        <w:widowControl w:val="0"/>
        <w:autoSpaceDE w:val="0"/>
        <w:autoSpaceDN w:val="0"/>
        <w:adjustRightInd w:val="0"/>
        <w:rPr>
          <w:rFonts w:ascii="Calibri" w:hAnsi="Calibri" w:cs="Calibri"/>
          <w:sz w:val="22"/>
          <w:szCs w:val="22"/>
        </w:rPr>
      </w:pPr>
    </w:p>
    <w:p w14:paraId="7A85BBA4" w14:textId="77777777" w:rsidR="00BE4B4E" w:rsidRDefault="00BE4B4E"/>
    <w:sectPr w:rsidR="00BE4B4E" w:rsidSect="00C04C81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2BC2"/>
    <w:rsid w:val="0000538A"/>
    <w:rsid w:val="00182BC2"/>
    <w:rsid w:val="0041035E"/>
    <w:rsid w:val="004650D3"/>
    <w:rsid w:val="005C2E23"/>
    <w:rsid w:val="006609E7"/>
    <w:rsid w:val="008D39A7"/>
    <w:rsid w:val="008E2D40"/>
    <w:rsid w:val="009E5372"/>
    <w:rsid w:val="00BE4B4E"/>
    <w:rsid w:val="00C04C81"/>
    <w:rsid w:val="00E13264"/>
    <w:rsid w:val="00F829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D22764D"/>
  <w14:defaultImageDpi w14:val="300"/>
  <w15:docId w15:val="{31CD5178-9633-4A88-B8EE-5EDB7B051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4" w:semiHidden="1" w:unhideWhenUsed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182BC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D39A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39A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g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365</Words>
  <Characters>2082</Characters>
  <Application>Microsoft Office Word</Application>
  <DocSecurity>4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Jeanne Galick Graphic Design</Company>
  <LinksUpToDate>false</LinksUpToDate>
  <CharactersWithSpaces>2443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Jeanne Galick</dc:creator>
  <cp:keywords/>
  <dc:description/>
  <cp:lastModifiedBy>Monroe, Staci</cp:lastModifiedBy>
  <cp:revision>2</cp:revision>
  <cp:lastPrinted>2020-03-11T20:49:00Z</cp:lastPrinted>
  <dcterms:created xsi:type="dcterms:W3CDTF">2020-03-11T20:50:00Z</dcterms:created>
  <dcterms:modified xsi:type="dcterms:W3CDTF">2020-03-11T20:50:00Z</dcterms:modified>
</cp:coreProperties>
</file>