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55CDA" w14:textId="77777777" w:rsidR="00C9594D" w:rsidRPr="00585DB8" w:rsidRDefault="00C9594D">
      <w:pPr>
        <w:rPr>
          <w:rFonts w:ascii="Tw Cen MT" w:hAnsi="Tw Cen MT"/>
          <w:color w:val="FF0000"/>
          <w:sz w:val="22"/>
          <w:szCs w:val="22"/>
        </w:rPr>
      </w:pPr>
    </w:p>
    <w:p w14:paraId="48C7FFDF" w14:textId="77777777" w:rsidR="00C9594D" w:rsidRPr="009B4422" w:rsidRDefault="00C9594D">
      <w:pPr>
        <w:rPr>
          <w:rFonts w:ascii="Tw Cen MT" w:hAnsi="Tw Cen MT"/>
          <w:sz w:val="22"/>
          <w:szCs w:val="22"/>
        </w:rPr>
      </w:pPr>
    </w:p>
    <w:p w14:paraId="3BAFDE56" w14:textId="77777777" w:rsidR="00C9594D" w:rsidRPr="009B4422" w:rsidRDefault="00C9594D">
      <w:pPr>
        <w:rPr>
          <w:rFonts w:ascii="Tw Cen MT" w:hAnsi="Tw Cen MT"/>
          <w:sz w:val="22"/>
          <w:szCs w:val="22"/>
        </w:rPr>
      </w:pPr>
    </w:p>
    <w:p w14:paraId="64F1584A" w14:textId="77777777" w:rsidR="00C9594D" w:rsidRPr="009B4422" w:rsidRDefault="00C9594D">
      <w:pPr>
        <w:rPr>
          <w:rFonts w:ascii="Tw Cen MT" w:hAnsi="Tw Cen MT"/>
          <w:sz w:val="22"/>
          <w:szCs w:val="22"/>
        </w:rPr>
      </w:pPr>
    </w:p>
    <w:p w14:paraId="19D500ED" w14:textId="77777777" w:rsidR="00C9594D" w:rsidRPr="009B4422" w:rsidRDefault="00C9594D">
      <w:pPr>
        <w:rPr>
          <w:rFonts w:ascii="Tw Cen MT" w:hAnsi="Tw Cen MT"/>
          <w:sz w:val="22"/>
          <w:szCs w:val="22"/>
        </w:rPr>
      </w:pPr>
    </w:p>
    <w:p w14:paraId="1B91491C" w14:textId="77777777" w:rsidR="00C9594D" w:rsidRPr="009B4422" w:rsidRDefault="00C9594D">
      <w:pPr>
        <w:rPr>
          <w:rFonts w:ascii="Tw Cen MT" w:hAnsi="Tw Cen MT"/>
          <w:sz w:val="22"/>
          <w:szCs w:val="22"/>
        </w:rPr>
      </w:pPr>
    </w:p>
    <w:p w14:paraId="2FAE75D0" w14:textId="77777777" w:rsidR="009D06FA" w:rsidRPr="009B4422" w:rsidRDefault="009D06FA" w:rsidP="009D06FA">
      <w:pPr>
        <w:spacing w:line="23" w:lineRule="atLeast"/>
        <w:rPr>
          <w:rFonts w:ascii="Tw Cen MT" w:hAnsi="Tw Cen MT"/>
          <w:sz w:val="22"/>
          <w:szCs w:val="22"/>
        </w:rPr>
      </w:pPr>
    </w:p>
    <w:p w14:paraId="52EA80B5" w14:textId="43579BA8" w:rsidR="00451252" w:rsidRPr="00B64EF1" w:rsidRDefault="001722A6">
      <w:pPr>
        <w:rPr>
          <w:rFonts w:asciiTheme="minorHAnsi" w:hAnsiTheme="minorHAnsi"/>
          <w:sz w:val="22"/>
          <w:szCs w:val="22"/>
        </w:rPr>
      </w:pPr>
      <w:r w:rsidRPr="6FF3E043">
        <w:rPr>
          <w:rFonts w:asciiTheme="minorHAnsi" w:hAnsiTheme="minorHAnsi"/>
          <w:sz w:val="22"/>
          <w:szCs w:val="22"/>
        </w:rPr>
        <w:t xml:space="preserve">May </w:t>
      </w:r>
      <w:r w:rsidR="6FF3E043" w:rsidRPr="6FF3E043">
        <w:rPr>
          <w:rFonts w:asciiTheme="minorHAnsi" w:hAnsiTheme="minorHAnsi"/>
          <w:sz w:val="22"/>
          <w:szCs w:val="22"/>
        </w:rPr>
        <w:t>15</w:t>
      </w:r>
      <w:r w:rsidRPr="6FF3E043">
        <w:rPr>
          <w:rFonts w:asciiTheme="minorHAnsi" w:hAnsiTheme="minorHAnsi"/>
          <w:sz w:val="22"/>
          <w:szCs w:val="22"/>
        </w:rPr>
        <w:t>, 2018</w:t>
      </w:r>
    </w:p>
    <w:p w14:paraId="095878EC" w14:textId="77777777" w:rsidR="00697474" w:rsidRPr="007725F1" w:rsidRDefault="00697474" w:rsidP="00697474">
      <w:pPr>
        <w:rPr>
          <w:rFonts w:asciiTheme="minorHAnsi" w:hAnsiTheme="minorHAnsi"/>
          <w:sz w:val="22"/>
          <w:szCs w:val="22"/>
        </w:rPr>
      </w:pPr>
    </w:p>
    <w:p w14:paraId="2223AF0F" w14:textId="77777777" w:rsidR="001722A6" w:rsidRDefault="007725F1" w:rsidP="007725F1">
      <w:pPr>
        <w:spacing w:line="195" w:lineRule="atLeast"/>
        <w:rPr>
          <w:rFonts w:asciiTheme="minorHAnsi" w:hAnsiTheme="minorHAnsi" w:cs="Calibri"/>
          <w:sz w:val="22"/>
          <w:szCs w:val="22"/>
        </w:rPr>
      </w:pPr>
      <w:r w:rsidRPr="007725F1">
        <w:rPr>
          <w:rFonts w:asciiTheme="minorHAnsi" w:hAnsiTheme="minorHAnsi" w:cs="Calibri"/>
          <w:sz w:val="22"/>
          <w:szCs w:val="22"/>
        </w:rPr>
        <w:t xml:space="preserve">To: </w:t>
      </w:r>
      <w:r w:rsidR="001722A6">
        <w:rPr>
          <w:rFonts w:asciiTheme="minorHAnsi" w:hAnsiTheme="minorHAnsi" w:cs="Calibri"/>
          <w:sz w:val="22"/>
          <w:szCs w:val="22"/>
        </w:rPr>
        <w:tab/>
        <w:t>Portland Planning &amp; Sustainability Commission</w:t>
      </w:r>
    </w:p>
    <w:p w14:paraId="4DFF8433" w14:textId="77777777" w:rsidR="007725F1" w:rsidRPr="007725F1" w:rsidRDefault="007725F1" w:rsidP="007725F1">
      <w:pPr>
        <w:spacing w:line="195" w:lineRule="atLeast"/>
        <w:rPr>
          <w:rFonts w:asciiTheme="minorHAnsi" w:hAnsiTheme="minorHAnsi"/>
          <w:sz w:val="22"/>
          <w:szCs w:val="22"/>
        </w:rPr>
      </w:pPr>
    </w:p>
    <w:p w14:paraId="5E7F89BE" w14:textId="77777777" w:rsidR="007725F1" w:rsidRPr="007725F1" w:rsidRDefault="007725F1" w:rsidP="007725F1">
      <w:pPr>
        <w:spacing w:line="195" w:lineRule="atLeast"/>
        <w:rPr>
          <w:rFonts w:asciiTheme="minorHAnsi" w:hAnsiTheme="minorHAnsi"/>
          <w:sz w:val="22"/>
          <w:szCs w:val="22"/>
        </w:rPr>
      </w:pPr>
      <w:r w:rsidRPr="007725F1">
        <w:rPr>
          <w:rFonts w:asciiTheme="minorHAnsi" w:hAnsiTheme="minorHAnsi" w:cs="Calibri"/>
          <w:sz w:val="22"/>
          <w:szCs w:val="22"/>
        </w:rPr>
        <w:t xml:space="preserve">Re: </w:t>
      </w:r>
      <w:r w:rsidR="00EF6E0A">
        <w:rPr>
          <w:rFonts w:asciiTheme="minorHAnsi" w:hAnsiTheme="minorHAnsi" w:cs="Calibri"/>
          <w:sz w:val="22"/>
          <w:szCs w:val="22"/>
        </w:rPr>
        <w:tab/>
      </w:r>
      <w:r w:rsidR="00450AC5">
        <w:rPr>
          <w:rFonts w:asciiTheme="minorHAnsi" w:hAnsiTheme="minorHAnsi" w:cs="Calibri"/>
          <w:sz w:val="22"/>
          <w:szCs w:val="22"/>
        </w:rPr>
        <w:t xml:space="preserve">Residential Infill Project </w:t>
      </w:r>
      <w:r w:rsidR="001722A6">
        <w:rPr>
          <w:rFonts w:asciiTheme="minorHAnsi" w:hAnsiTheme="minorHAnsi" w:cs="Calibri"/>
          <w:sz w:val="22"/>
          <w:szCs w:val="22"/>
        </w:rPr>
        <w:t>Proposed</w:t>
      </w:r>
      <w:r w:rsidR="00450AC5">
        <w:rPr>
          <w:rFonts w:asciiTheme="minorHAnsi" w:hAnsiTheme="minorHAnsi" w:cs="Calibri"/>
          <w:sz w:val="22"/>
          <w:szCs w:val="22"/>
        </w:rPr>
        <w:t xml:space="preserve"> Draft</w:t>
      </w:r>
    </w:p>
    <w:p w14:paraId="5DD42978" w14:textId="77777777" w:rsidR="007725F1" w:rsidRDefault="007725F1" w:rsidP="007725F1">
      <w:pPr>
        <w:spacing w:line="195" w:lineRule="atLeast"/>
        <w:rPr>
          <w:rFonts w:asciiTheme="minorHAnsi" w:hAnsiTheme="minorHAnsi"/>
          <w:sz w:val="22"/>
          <w:szCs w:val="22"/>
        </w:rPr>
      </w:pPr>
    </w:p>
    <w:p w14:paraId="2F47CC91" w14:textId="77777777" w:rsidR="004B11D2" w:rsidRPr="007725F1" w:rsidRDefault="004B11D2" w:rsidP="007725F1">
      <w:pPr>
        <w:spacing w:line="195" w:lineRule="atLeast"/>
        <w:rPr>
          <w:rFonts w:asciiTheme="minorHAnsi" w:hAnsiTheme="minorHAnsi"/>
          <w:sz w:val="22"/>
          <w:szCs w:val="22"/>
        </w:rPr>
      </w:pPr>
    </w:p>
    <w:p w14:paraId="54662C3C" w14:textId="12FB6695" w:rsidR="003906FB" w:rsidRPr="00B64EF1" w:rsidRDefault="001722A6" w:rsidP="00B64EF1">
      <w:pPr>
        <w:spacing w:after="120" w:line="195" w:lineRule="atLeast"/>
        <w:rPr>
          <w:rFonts w:asciiTheme="minorHAnsi" w:hAnsiTheme="minorHAnsi"/>
          <w:sz w:val="22"/>
          <w:szCs w:val="22"/>
        </w:rPr>
      </w:pPr>
      <w:r w:rsidRPr="669C45D2">
        <w:rPr>
          <w:rFonts w:asciiTheme="minorHAnsi" w:hAnsiTheme="minorHAnsi"/>
          <w:sz w:val="22"/>
          <w:szCs w:val="22"/>
        </w:rPr>
        <w:t>The Portland Historic Landmarks Commission (PHLC) has been closely following the development of the proposed draft of the Residential Infill Project</w:t>
      </w:r>
      <w:r w:rsidR="003906FB" w:rsidRPr="669C45D2">
        <w:rPr>
          <w:rFonts w:asciiTheme="minorHAnsi" w:hAnsiTheme="minorHAnsi"/>
          <w:sz w:val="22"/>
          <w:szCs w:val="22"/>
        </w:rPr>
        <w:t xml:space="preserve"> (RIP)</w:t>
      </w:r>
      <w:r w:rsidRPr="669C45D2">
        <w:rPr>
          <w:rFonts w:asciiTheme="minorHAnsi" w:hAnsiTheme="minorHAnsi"/>
          <w:sz w:val="22"/>
          <w:szCs w:val="22"/>
        </w:rPr>
        <w:t>, thanks to periodic briefings by Morgan Tracy and Brandon Spencer-Hartle, both at the Bureau of Planning &amp; Sustainability, and Hillary Adam and Benjamin Nielsen, from the Bureau of Development Services. We appreciate and support many of the proposed code revisions; however, we have concerns that</w:t>
      </w:r>
      <w:r w:rsidR="00852A14">
        <w:rPr>
          <w:rFonts w:asciiTheme="minorHAnsi" w:hAnsiTheme="minorHAnsi"/>
          <w:sz w:val="22"/>
          <w:szCs w:val="22"/>
        </w:rPr>
        <w:t>:</w:t>
      </w:r>
    </w:p>
    <w:p w14:paraId="6CD403F2" w14:textId="64E9D2D7" w:rsidR="003906FB" w:rsidRPr="00B64EF1" w:rsidRDefault="001722A6" w:rsidP="00B64EF1">
      <w:pPr>
        <w:pStyle w:val="ListParagraph"/>
        <w:numPr>
          <w:ilvl w:val="0"/>
          <w:numId w:val="16"/>
        </w:numPr>
        <w:spacing w:after="120" w:line="195" w:lineRule="atLeast"/>
        <w:rPr>
          <w:rFonts w:asciiTheme="minorHAnsi" w:hAnsiTheme="minorHAnsi"/>
          <w:sz w:val="22"/>
          <w:szCs w:val="22"/>
        </w:rPr>
      </w:pPr>
      <w:r w:rsidRPr="00B64EF1">
        <w:rPr>
          <w:rFonts w:asciiTheme="minorHAnsi" w:hAnsiTheme="minorHAnsi"/>
          <w:sz w:val="22"/>
          <w:szCs w:val="22"/>
        </w:rPr>
        <w:t>not enough has been included to limit demolitions and</w:t>
      </w:r>
      <w:r w:rsidR="003906FB" w:rsidRPr="669C45D2">
        <w:rPr>
          <w:rFonts w:asciiTheme="minorHAnsi" w:hAnsiTheme="minorHAnsi"/>
          <w:sz w:val="22"/>
          <w:szCs w:val="22"/>
        </w:rPr>
        <w:t xml:space="preserve"> will result in the systematic demolition of potential historical resources;</w:t>
      </w:r>
      <w:r w:rsidRPr="00B64EF1">
        <w:rPr>
          <w:rFonts w:asciiTheme="minorHAnsi" w:hAnsiTheme="minorHAnsi"/>
          <w:sz w:val="22"/>
          <w:szCs w:val="22"/>
        </w:rPr>
        <w:t xml:space="preserve"> </w:t>
      </w:r>
    </w:p>
    <w:p w14:paraId="6FE15B21" w14:textId="2A72FE2D" w:rsidR="003906FB" w:rsidRPr="00B64EF1" w:rsidRDefault="003906FB" w:rsidP="00B64EF1">
      <w:pPr>
        <w:pStyle w:val="ListParagraph"/>
        <w:numPr>
          <w:ilvl w:val="0"/>
          <w:numId w:val="16"/>
        </w:numPr>
        <w:spacing w:after="120" w:line="195" w:lineRule="atLeast"/>
        <w:rPr>
          <w:rFonts w:asciiTheme="minorHAnsi" w:hAnsiTheme="minorHAnsi"/>
          <w:sz w:val="22"/>
          <w:szCs w:val="22"/>
        </w:rPr>
      </w:pPr>
      <w:r w:rsidRPr="669C45D2">
        <w:rPr>
          <w:rFonts w:asciiTheme="minorHAnsi" w:hAnsiTheme="minorHAnsi"/>
          <w:sz w:val="22"/>
          <w:szCs w:val="22"/>
        </w:rPr>
        <w:t xml:space="preserve">the RIP fails to </w:t>
      </w:r>
      <w:r w:rsidR="001722A6" w:rsidRPr="00B64EF1">
        <w:rPr>
          <w:rFonts w:asciiTheme="minorHAnsi" w:hAnsiTheme="minorHAnsi"/>
          <w:sz w:val="22"/>
          <w:szCs w:val="22"/>
        </w:rPr>
        <w:t xml:space="preserve">provide </w:t>
      </w:r>
      <w:r w:rsidRPr="669C45D2">
        <w:rPr>
          <w:rFonts w:asciiTheme="minorHAnsi" w:hAnsiTheme="minorHAnsi"/>
          <w:sz w:val="22"/>
          <w:szCs w:val="22"/>
        </w:rPr>
        <w:t xml:space="preserve">effective </w:t>
      </w:r>
      <w:r w:rsidR="001722A6" w:rsidRPr="00B64EF1">
        <w:rPr>
          <w:rFonts w:asciiTheme="minorHAnsi" w:hAnsiTheme="minorHAnsi"/>
          <w:sz w:val="22"/>
          <w:szCs w:val="22"/>
        </w:rPr>
        <w:t>incentives to retain both historic and unranked/un-cataloged older housing</w:t>
      </w:r>
      <w:r w:rsidR="00852A14">
        <w:rPr>
          <w:rFonts w:asciiTheme="minorHAnsi" w:hAnsiTheme="minorHAnsi"/>
          <w:sz w:val="22"/>
          <w:szCs w:val="22"/>
        </w:rPr>
        <w:t>;</w:t>
      </w:r>
      <w:r w:rsidR="001722A6" w:rsidRPr="00B64EF1">
        <w:rPr>
          <w:rFonts w:asciiTheme="minorHAnsi" w:hAnsiTheme="minorHAnsi"/>
          <w:sz w:val="22"/>
          <w:szCs w:val="22"/>
        </w:rPr>
        <w:t xml:space="preserve"> and</w:t>
      </w:r>
    </w:p>
    <w:p w14:paraId="707FA6B2" w14:textId="188DBE0C" w:rsidR="001722A6" w:rsidRPr="00B64EF1" w:rsidRDefault="001722A6" w:rsidP="00B64EF1">
      <w:pPr>
        <w:pStyle w:val="ListParagraph"/>
        <w:numPr>
          <w:ilvl w:val="0"/>
          <w:numId w:val="16"/>
        </w:numPr>
        <w:spacing w:after="120" w:line="195" w:lineRule="atLeast"/>
        <w:rPr>
          <w:rFonts w:asciiTheme="minorHAnsi" w:hAnsiTheme="minorHAnsi"/>
          <w:sz w:val="22"/>
          <w:szCs w:val="22"/>
        </w:rPr>
      </w:pPr>
      <w:r w:rsidRPr="00B64EF1">
        <w:rPr>
          <w:rFonts w:asciiTheme="minorHAnsi" w:hAnsiTheme="minorHAnsi"/>
          <w:sz w:val="22"/>
          <w:szCs w:val="22"/>
        </w:rPr>
        <w:t>neighborhood compatibility</w:t>
      </w:r>
      <w:r w:rsidR="003906FB" w:rsidRPr="669C45D2">
        <w:rPr>
          <w:rFonts w:asciiTheme="minorHAnsi" w:hAnsiTheme="minorHAnsi"/>
          <w:sz w:val="22"/>
          <w:szCs w:val="22"/>
        </w:rPr>
        <w:t>, character, and historical cohesiveness</w:t>
      </w:r>
      <w:r w:rsidRPr="00B64EF1">
        <w:rPr>
          <w:rFonts w:asciiTheme="minorHAnsi" w:hAnsiTheme="minorHAnsi"/>
          <w:sz w:val="22"/>
          <w:szCs w:val="22"/>
        </w:rPr>
        <w:t xml:space="preserve"> </w:t>
      </w:r>
      <w:r w:rsidR="003906FB" w:rsidRPr="669C45D2">
        <w:rPr>
          <w:rFonts w:asciiTheme="minorHAnsi" w:hAnsiTheme="minorHAnsi"/>
          <w:sz w:val="22"/>
          <w:szCs w:val="22"/>
        </w:rPr>
        <w:t>will</w:t>
      </w:r>
      <w:r w:rsidRPr="00B64EF1">
        <w:rPr>
          <w:rFonts w:asciiTheme="minorHAnsi" w:hAnsiTheme="minorHAnsi"/>
          <w:sz w:val="22"/>
          <w:szCs w:val="22"/>
        </w:rPr>
        <w:t xml:space="preserve"> be compromised by certain provisions.</w:t>
      </w:r>
    </w:p>
    <w:p w14:paraId="6C2AFA90" w14:textId="77777777" w:rsidR="00C91385" w:rsidRDefault="00C91385" w:rsidP="007725F1">
      <w:pPr>
        <w:spacing w:line="195" w:lineRule="atLeast"/>
        <w:rPr>
          <w:rFonts w:asciiTheme="minorHAnsi" w:hAnsiTheme="minorHAnsi"/>
          <w:sz w:val="22"/>
          <w:szCs w:val="22"/>
        </w:rPr>
      </w:pPr>
    </w:p>
    <w:p w14:paraId="47DB68EA" w14:textId="77777777" w:rsidR="00C91385" w:rsidRPr="00FC38E1" w:rsidRDefault="00152F91" w:rsidP="00FC38E1">
      <w:pPr>
        <w:spacing w:after="120" w:line="195" w:lineRule="atLeast"/>
        <w:rPr>
          <w:rFonts w:asciiTheme="minorHAnsi" w:hAnsiTheme="minorHAnsi"/>
          <w:b/>
          <w:i/>
          <w:sz w:val="22"/>
          <w:szCs w:val="22"/>
        </w:rPr>
      </w:pPr>
      <w:r w:rsidRPr="00FC38E1">
        <w:rPr>
          <w:rFonts w:asciiTheme="minorHAnsi" w:hAnsiTheme="minorHAnsi"/>
          <w:b/>
          <w:i/>
          <w:sz w:val="22"/>
          <w:szCs w:val="22"/>
        </w:rPr>
        <w:t>Preservation</w:t>
      </w:r>
      <w:r w:rsidR="00163DBB" w:rsidRPr="00FC38E1">
        <w:rPr>
          <w:rFonts w:asciiTheme="minorHAnsi" w:hAnsiTheme="minorHAnsi"/>
          <w:b/>
          <w:i/>
          <w:sz w:val="22"/>
          <w:szCs w:val="22"/>
        </w:rPr>
        <w:t xml:space="preserve"> of </w:t>
      </w:r>
      <w:r w:rsidR="00D744B0">
        <w:rPr>
          <w:rFonts w:asciiTheme="minorHAnsi" w:hAnsiTheme="minorHAnsi"/>
          <w:b/>
          <w:i/>
          <w:sz w:val="22"/>
          <w:szCs w:val="22"/>
        </w:rPr>
        <w:t>un-inventoried historic</w:t>
      </w:r>
      <w:r w:rsidR="00163DBB" w:rsidRPr="00FC38E1">
        <w:rPr>
          <w:rFonts w:asciiTheme="minorHAnsi" w:hAnsiTheme="minorHAnsi"/>
          <w:b/>
          <w:i/>
          <w:sz w:val="22"/>
          <w:szCs w:val="22"/>
        </w:rPr>
        <w:t xml:space="preserve"> properties</w:t>
      </w:r>
    </w:p>
    <w:p w14:paraId="4754A390" w14:textId="7F7968EB" w:rsidR="00E36121" w:rsidRPr="00B64EF1" w:rsidRDefault="00945138" w:rsidP="00B64EF1">
      <w:pPr>
        <w:spacing w:after="120" w:line="195" w:lineRule="atLeast"/>
        <w:rPr>
          <w:rFonts w:asciiTheme="minorHAnsi" w:hAnsiTheme="minorHAnsi"/>
          <w:sz w:val="22"/>
          <w:szCs w:val="22"/>
        </w:rPr>
      </w:pPr>
      <w:r w:rsidRPr="6FF3E043">
        <w:rPr>
          <w:rFonts w:asciiTheme="minorHAnsi" w:hAnsiTheme="minorHAnsi"/>
          <w:sz w:val="22"/>
          <w:szCs w:val="22"/>
        </w:rPr>
        <w:t>The</w:t>
      </w:r>
      <w:r w:rsidR="00DD21B6" w:rsidRPr="6FF3E043">
        <w:rPr>
          <w:rFonts w:asciiTheme="minorHAnsi" w:hAnsiTheme="minorHAnsi"/>
          <w:sz w:val="22"/>
          <w:szCs w:val="22"/>
        </w:rPr>
        <w:t xml:space="preserve"> PHLC </w:t>
      </w:r>
      <w:r w:rsidR="00493F26" w:rsidRPr="6FF3E043">
        <w:rPr>
          <w:rFonts w:asciiTheme="minorHAnsi" w:hAnsiTheme="minorHAnsi"/>
          <w:sz w:val="22"/>
          <w:szCs w:val="22"/>
        </w:rPr>
        <w:t xml:space="preserve">is frequently tasked with evaluating </w:t>
      </w:r>
      <w:r w:rsidR="00EE6B92" w:rsidRPr="6FF3E043">
        <w:rPr>
          <w:rFonts w:asciiTheme="minorHAnsi" w:hAnsiTheme="minorHAnsi"/>
          <w:sz w:val="22"/>
          <w:szCs w:val="22"/>
        </w:rPr>
        <w:t xml:space="preserve">infill </w:t>
      </w:r>
      <w:r w:rsidR="00DD21B6" w:rsidRPr="6FF3E043">
        <w:rPr>
          <w:rFonts w:asciiTheme="minorHAnsi" w:hAnsiTheme="minorHAnsi"/>
          <w:sz w:val="22"/>
          <w:szCs w:val="22"/>
        </w:rPr>
        <w:t>development proposals in Historic Districts</w:t>
      </w:r>
      <w:r w:rsidR="00EE6B92" w:rsidRPr="6FF3E043">
        <w:rPr>
          <w:rFonts w:asciiTheme="minorHAnsi" w:hAnsiTheme="minorHAnsi"/>
          <w:sz w:val="22"/>
          <w:szCs w:val="22"/>
        </w:rPr>
        <w:t xml:space="preserve">. </w:t>
      </w:r>
      <w:r w:rsidR="00792CFF" w:rsidRPr="6FF3E043">
        <w:rPr>
          <w:rFonts w:asciiTheme="minorHAnsi" w:hAnsiTheme="minorHAnsi"/>
          <w:sz w:val="22"/>
          <w:szCs w:val="22"/>
        </w:rPr>
        <w:t>Infill projects require sensitivity to context</w:t>
      </w:r>
      <w:r w:rsidR="00314DEC" w:rsidRPr="6FF3E043">
        <w:rPr>
          <w:rFonts w:asciiTheme="minorHAnsi" w:hAnsiTheme="minorHAnsi"/>
          <w:sz w:val="22"/>
          <w:szCs w:val="22"/>
        </w:rPr>
        <w:t>,</w:t>
      </w:r>
      <w:r w:rsidR="00792CFF" w:rsidRPr="6FF3E043">
        <w:rPr>
          <w:rFonts w:asciiTheme="minorHAnsi" w:hAnsiTheme="minorHAnsi"/>
          <w:sz w:val="22"/>
          <w:szCs w:val="22"/>
        </w:rPr>
        <w:t xml:space="preserve"> whether or not the site is part of a formally designated historic district. </w:t>
      </w:r>
      <w:r w:rsidR="00493F26" w:rsidRPr="6FF3E043">
        <w:rPr>
          <w:rFonts w:asciiTheme="minorHAnsi" w:hAnsiTheme="minorHAnsi"/>
          <w:sz w:val="22"/>
          <w:szCs w:val="22"/>
        </w:rPr>
        <w:t xml:space="preserve"> </w:t>
      </w:r>
      <w:r w:rsidR="003906FB" w:rsidRPr="6FF3E043">
        <w:rPr>
          <w:rFonts w:asciiTheme="minorHAnsi" w:hAnsiTheme="minorHAnsi"/>
          <w:sz w:val="22"/>
          <w:szCs w:val="22"/>
        </w:rPr>
        <w:t xml:space="preserve">The </w:t>
      </w:r>
      <w:r w:rsidR="00493F26" w:rsidRPr="6FF3E043">
        <w:rPr>
          <w:rFonts w:asciiTheme="minorHAnsi" w:hAnsiTheme="minorHAnsi"/>
          <w:sz w:val="22"/>
          <w:szCs w:val="22"/>
        </w:rPr>
        <w:t>proposed “a” Additional Housing Opportunity Overlay zone</w:t>
      </w:r>
      <w:r w:rsidR="00493F26" w:rsidRPr="6FF3E043" w:rsidDel="00493F26">
        <w:rPr>
          <w:rFonts w:asciiTheme="minorHAnsi" w:hAnsiTheme="minorHAnsi"/>
          <w:sz w:val="22"/>
          <w:szCs w:val="22"/>
        </w:rPr>
        <w:t xml:space="preserve"> </w:t>
      </w:r>
      <w:r w:rsidR="00493F26" w:rsidRPr="6FF3E043">
        <w:rPr>
          <w:rFonts w:asciiTheme="minorHAnsi" w:hAnsiTheme="minorHAnsi"/>
          <w:sz w:val="22"/>
          <w:szCs w:val="22"/>
        </w:rPr>
        <w:t>cover</w:t>
      </w:r>
      <w:r w:rsidR="008104C8" w:rsidRPr="6FF3E043">
        <w:rPr>
          <w:rFonts w:asciiTheme="minorHAnsi" w:hAnsiTheme="minorHAnsi"/>
          <w:sz w:val="22"/>
          <w:szCs w:val="22"/>
        </w:rPr>
        <w:t>s</w:t>
      </w:r>
      <w:r w:rsidR="00493F26" w:rsidRPr="6FF3E043">
        <w:rPr>
          <w:rFonts w:asciiTheme="minorHAnsi" w:hAnsiTheme="minorHAnsi"/>
          <w:sz w:val="22"/>
          <w:szCs w:val="22"/>
        </w:rPr>
        <w:t xml:space="preserve"> the older East-side areas of Portland, where there </w:t>
      </w:r>
      <w:r w:rsidR="003906FB" w:rsidRPr="6FF3E043">
        <w:rPr>
          <w:rFonts w:asciiTheme="minorHAnsi" w:hAnsiTheme="minorHAnsi"/>
          <w:sz w:val="22"/>
          <w:szCs w:val="22"/>
        </w:rPr>
        <w:t>are</w:t>
      </w:r>
      <w:r w:rsidR="00493F26" w:rsidRPr="6FF3E043">
        <w:rPr>
          <w:rFonts w:asciiTheme="minorHAnsi" w:hAnsiTheme="minorHAnsi"/>
          <w:sz w:val="22"/>
          <w:szCs w:val="22"/>
        </w:rPr>
        <w:t xml:space="preserve"> many historically-eligible properties</w:t>
      </w:r>
      <w:r w:rsidR="008104C8" w:rsidRPr="6FF3E043">
        <w:rPr>
          <w:rFonts w:asciiTheme="minorHAnsi" w:hAnsiTheme="minorHAnsi"/>
          <w:sz w:val="22"/>
          <w:szCs w:val="22"/>
        </w:rPr>
        <w:t>, especially those in residential neighborhoods,</w:t>
      </w:r>
      <w:r w:rsidR="00493F26" w:rsidRPr="6FF3E043">
        <w:rPr>
          <w:rFonts w:asciiTheme="minorHAnsi" w:hAnsiTheme="minorHAnsi"/>
          <w:sz w:val="22"/>
          <w:szCs w:val="22"/>
        </w:rPr>
        <w:t xml:space="preserve"> that </w:t>
      </w:r>
      <w:r w:rsidR="003906FB" w:rsidRPr="6FF3E043">
        <w:rPr>
          <w:rFonts w:asciiTheme="minorHAnsi" w:hAnsiTheme="minorHAnsi"/>
          <w:sz w:val="22"/>
          <w:szCs w:val="22"/>
        </w:rPr>
        <w:t>the City has</w:t>
      </w:r>
      <w:r w:rsidR="746A5725" w:rsidRPr="6FF3E043">
        <w:rPr>
          <w:rFonts w:asciiTheme="minorHAnsi" w:hAnsiTheme="minorHAnsi"/>
          <w:sz w:val="22"/>
          <w:szCs w:val="22"/>
        </w:rPr>
        <w:t xml:space="preserve"> not (yet) identifie</w:t>
      </w:r>
      <w:r w:rsidR="34EE3E73" w:rsidRPr="00B64EF1">
        <w:rPr>
          <w:rFonts w:asciiTheme="minorHAnsi" w:hAnsiTheme="minorHAnsi"/>
          <w:sz w:val="22"/>
          <w:szCs w:val="22"/>
        </w:rPr>
        <w:t>d</w:t>
      </w:r>
      <w:r w:rsidR="003906FB" w:rsidRPr="6FF3E043">
        <w:rPr>
          <w:rFonts w:asciiTheme="minorHAnsi" w:hAnsiTheme="minorHAnsi"/>
          <w:sz w:val="22"/>
          <w:szCs w:val="22"/>
        </w:rPr>
        <w:t xml:space="preserve"> as historical resources</w:t>
      </w:r>
      <w:r w:rsidR="00493F26" w:rsidRPr="6FF3E043">
        <w:rPr>
          <w:rFonts w:asciiTheme="minorHAnsi" w:hAnsiTheme="minorHAnsi"/>
          <w:sz w:val="22"/>
          <w:szCs w:val="22"/>
        </w:rPr>
        <w:t xml:space="preserve"> and </w:t>
      </w:r>
      <w:r w:rsidR="003906FB" w:rsidRPr="6FF3E043">
        <w:rPr>
          <w:rFonts w:asciiTheme="minorHAnsi" w:hAnsiTheme="minorHAnsi"/>
          <w:sz w:val="22"/>
          <w:szCs w:val="22"/>
        </w:rPr>
        <w:t xml:space="preserve">therefore </w:t>
      </w:r>
      <w:r w:rsidR="00493F26" w:rsidRPr="6FF3E043">
        <w:rPr>
          <w:rFonts w:asciiTheme="minorHAnsi" w:hAnsiTheme="minorHAnsi"/>
          <w:sz w:val="22"/>
          <w:szCs w:val="22"/>
        </w:rPr>
        <w:t xml:space="preserve">have no protection from demolition. </w:t>
      </w:r>
      <w:r w:rsidR="00AC0A09" w:rsidRPr="6FF3E043">
        <w:rPr>
          <w:rFonts w:asciiTheme="minorHAnsi" w:hAnsiTheme="minorHAnsi"/>
          <w:sz w:val="22"/>
          <w:szCs w:val="22"/>
        </w:rPr>
        <w:t xml:space="preserve">Some of these resources </w:t>
      </w:r>
      <w:r w:rsidR="0072174A" w:rsidRPr="6FF3E043">
        <w:rPr>
          <w:rFonts w:asciiTheme="minorHAnsi" w:hAnsiTheme="minorHAnsi"/>
          <w:sz w:val="22"/>
          <w:szCs w:val="22"/>
        </w:rPr>
        <w:t>have been identified through past studies—such as</w:t>
      </w:r>
      <w:r w:rsidR="0002431C" w:rsidRPr="6FF3E043">
        <w:rPr>
          <w:rFonts w:asciiTheme="minorHAnsi" w:hAnsiTheme="minorHAnsi"/>
          <w:sz w:val="22"/>
          <w:szCs w:val="22"/>
        </w:rPr>
        <w:t xml:space="preserve"> </w:t>
      </w:r>
      <w:r w:rsidR="0072174A" w:rsidRPr="6FF3E043">
        <w:rPr>
          <w:rFonts w:asciiTheme="minorHAnsi" w:hAnsiTheme="minorHAnsi"/>
          <w:sz w:val="22"/>
          <w:szCs w:val="22"/>
        </w:rPr>
        <w:t xml:space="preserve">the 1984 Historic Resource Inventory (HRI)— but </w:t>
      </w:r>
      <w:r w:rsidR="00025169" w:rsidRPr="6FF3E043">
        <w:rPr>
          <w:rFonts w:asciiTheme="minorHAnsi" w:hAnsiTheme="minorHAnsi"/>
          <w:sz w:val="22"/>
          <w:szCs w:val="22"/>
        </w:rPr>
        <w:t xml:space="preserve">many others </w:t>
      </w:r>
      <w:r w:rsidR="34EE3E73" w:rsidRPr="6FF3E043">
        <w:rPr>
          <w:rFonts w:asciiTheme="minorHAnsi" w:hAnsiTheme="minorHAnsi"/>
          <w:sz w:val="22"/>
          <w:szCs w:val="22"/>
        </w:rPr>
        <w:t>have</w:t>
      </w:r>
      <w:r w:rsidR="00025169" w:rsidRPr="6FF3E043">
        <w:rPr>
          <w:rFonts w:asciiTheme="minorHAnsi" w:hAnsiTheme="minorHAnsi"/>
          <w:sz w:val="22"/>
          <w:szCs w:val="22"/>
        </w:rPr>
        <w:t xml:space="preserve"> historic value</w:t>
      </w:r>
      <w:r w:rsidR="003906FB" w:rsidRPr="6FF3E043">
        <w:rPr>
          <w:rFonts w:asciiTheme="minorHAnsi" w:hAnsiTheme="minorHAnsi"/>
          <w:sz w:val="22"/>
          <w:szCs w:val="22"/>
        </w:rPr>
        <w:t>, includ</w:t>
      </w:r>
      <w:r w:rsidR="34EE3E73" w:rsidRPr="6FF3E043">
        <w:rPr>
          <w:rFonts w:asciiTheme="minorHAnsi" w:hAnsiTheme="minorHAnsi"/>
          <w:sz w:val="22"/>
          <w:szCs w:val="22"/>
        </w:rPr>
        <w:t xml:space="preserve">ing </w:t>
      </w:r>
      <w:r w:rsidR="003906FB" w:rsidRPr="6FF3E043">
        <w:rPr>
          <w:rFonts w:asciiTheme="minorHAnsi" w:hAnsiTheme="minorHAnsi"/>
          <w:sz w:val="22"/>
          <w:szCs w:val="22"/>
        </w:rPr>
        <w:t xml:space="preserve">many resources associated with Portland’s ethnic past. </w:t>
      </w:r>
      <w:r w:rsidR="008104C8" w:rsidRPr="6FF3E043">
        <w:rPr>
          <w:rFonts w:asciiTheme="minorHAnsi" w:hAnsiTheme="minorHAnsi"/>
          <w:sz w:val="22"/>
          <w:szCs w:val="22"/>
        </w:rPr>
        <w:t xml:space="preserve">The “a” overlay </w:t>
      </w:r>
      <w:r w:rsidR="003906FB" w:rsidRPr="6FF3E043">
        <w:rPr>
          <w:rFonts w:asciiTheme="minorHAnsi" w:hAnsiTheme="minorHAnsi"/>
          <w:sz w:val="22"/>
          <w:szCs w:val="22"/>
        </w:rPr>
        <w:t>will</w:t>
      </w:r>
      <w:r w:rsidR="008104C8" w:rsidRPr="6FF3E043">
        <w:rPr>
          <w:rFonts w:asciiTheme="minorHAnsi" w:hAnsiTheme="minorHAnsi"/>
          <w:sz w:val="22"/>
          <w:szCs w:val="22"/>
        </w:rPr>
        <w:t xml:space="preserve"> create big changes to these areas and </w:t>
      </w:r>
      <w:r w:rsidR="2FF41297" w:rsidRPr="6FF3E043">
        <w:rPr>
          <w:rFonts w:asciiTheme="minorHAnsi" w:hAnsiTheme="minorHAnsi"/>
          <w:sz w:val="22"/>
          <w:szCs w:val="22"/>
        </w:rPr>
        <w:t xml:space="preserve">likely </w:t>
      </w:r>
      <w:r w:rsidR="008104C8" w:rsidRPr="6FF3E043">
        <w:rPr>
          <w:rFonts w:asciiTheme="minorHAnsi" w:hAnsiTheme="minorHAnsi"/>
          <w:sz w:val="22"/>
          <w:szCs w:val="22"/>
        </w:rPr>
        <w:t>incentivize demolition, especially of the more modest and affordable older houses.</w:t>
      </w:r>
      <w:r w:rsidR="003906FB" w:rsidRPr="6FF3E043">
        <w:rPr>
          <w:rFonts w:asciiTheme="minorHAnsi" w:hAnsiTheme="minorHAnsi"/>
          <w:sz w:val="22"/>
          <w:szCs w:val="22"/>
        </w:rPr>
        <w:t xml:space="preserve">  As identified in the City of Portland’s 2018 Housing Study, older historical populations in the “a” overlay have already experienced displacement at an alarming rate, particularly in Albina.  Indeed, the proliferation of new, unaffordable housing in this area has substantially decreased the diversity in this and other areas subject to the “a” overlay. </w:t>
      </w:r>
      <w:r w:rsidR="008104C8" w:rsidRPr="6FF3E043">
        <w:rPr>
          <w:rFonts w:asciiTheme="minorHAnsi" w:hAnsiTheme="minorHAnsi"/>
          <w:sz w:val="22"/>
          <w:szCs w:val="22"/>
        </w:rPr>
        <w:t xml:space="preserve"> </w:t>
      </w:r>
    </w:p>
    <w:p w14:paraId="15139AE4" w14:textId="45971EF2" w:rsidR="004677C8" w:rsidRPr="00B64EF1" w:rsidRDefault="00093428" w:rsidP="00B64EF1">
      <w:pPr>
        <w:spacing w:after="120" w:line="195" w:lineRule="atLeast"/>
        <w:rPr>
          <w:rFonts w:asciiTheme="minorHAnsi" w:hAnsiTheme="minorHAnsi"/>
          <w:sz w:val="22"/>
          <w:szCs w:val="22"/>
        </w:rPr>
      </w:pPr>
      <w:r w:rsidRPr="669C45D2">
        <w:rPr>
          <w:rFonts w:asciiTheme="minorHAnsi" w:hAnsiTheme="minorHAnsi"/>
          <w:sz w:val="22"/>
          <w:szCs w:val="22"/>
        </w:rPr>
        <w:t xml:space="preserve">Preservation of older resources </w:t>
      </w:r>
      <w:r w:rsidR="00FC38E1" w:rsidRPr="669C45D2">
        <w:rPr>
          <w:rFonts w:asciiTheme="minorHAnsi" w:hAnsiTheme="minorHAnsi"/>
          <w:sz w:val="22"/>
          <w:szCs w:val="22"/>
        </w:rPr>
        <w:t>help</w:t>
      </w:r>
      <w:r w:rsidRPr="669C45D2">
        <w:rPr>
          <w:rFonts w:asciiTheme="minorHAnsi" w:hAnsiTheme="minorHAnsi"/>
          <w:sz w:val="22"/>
          <w:szCs w:val="22"/>
        </w:rPr>
        <w:t>s Portland achieve sustainability goals,</w:t>
      </w:r>
      <w:r w:rsidR="00FC38E1" w:rsidRPr="669C45D2">
        <w:rPr>
          <w:rFonts w:asciiTheme="minorHAnsi" w:hAnsiTheme="minorHAnsi"/>
          <w:sz w:val="22"/>
          <w:szCs w:val="22"/>
        </w:rPr>
        <w:t xml:space="preserve"> define</w:t>
      </w:r>
      <w:r w:rsidRPr="669C45D2">
        <w:rPr>
          <w:rFonts w:asciiTheme="minorHAnsi" w:hAnsiTheme="minorHAnsi"/>
          <w:sz w:val="22"/>
          <w:szCs w:val="22"/>
        </w:rPr>
        <w:t>s</w:t>
      </w:r>
      <w:r w:rsidR="00FC38E1" w:rsidRPr="669C45D2">
        <w:rPr>
          <w:rFonts w:asciiTheme="minorHAnsi" w:hAnsiTheme="minorHAnsi"/>
          <w:sz w:val="22"/>
          <w:szCs w:val="22"/>
        </w:rPr>
        <w:t xml:space="preserve"> the unique character of Portland’s neighborhoods</w:t>
      </w:r>
      <w:r w:rsidRPr="669C45D2">
        <w:rPr>
          <w:rFonts w:asciiTheme="minorHAnsi" w:hAnsiTheme="minorHAnsi"/>
          <w:sz w:val="22"/>
          <w:szCs w:val="22"/>
        </w:rPr>
        <w:t xml:space="preserve">, </w:t>
      </w:r>
      <w:r w:rsidR="0002665B" w:rsidRPr="669C45D2">
        <w:rPr>
          <w:rFonts w:asciiTheme="minorHAnsi" w:hAnsiTheme="minorHAnsi"/>
          <w:sz w:val="22"/>
          <w:szCs w:val="22"/>
        </w:rPr>
        <w:t xml:space="preserve">provides an alternative to newer housing options, </w:t>
      </w:r>
      <w:r w:rsidR="00C24A1D" w:rsidRPr="669C45D2">
        <w:rPr>
          <w:rFonts w:asciiTheme="minorHAnsi" w:hAnsiTheme="minorHAnsi"/>
          <w:sz w:val="22"/>
          <w:szCs w:val="22"/>
        </w:rPr>
        <w:t xml:space="preserve">keeps the more affordable units on the market, </w:t>
      </w:r>
      <w:r w:rsidRPr="669C45D2">
        <w:rPr>
          <w:rFonts w:asciiTheme="minorHAnsi" w:hAnsiTheme="minorHAnsi"/>
          <w:sz w:val="22"/>
          <w:szCs w:val="22"/>
        </w:rPr>
        <w:t xml:space="preserve">and typically does not prevent greater density on a site. </w:t>
      </w:r>
      <w:r w:rsidR="00FC38E1" w:rsidRPr="669C45D2">
        <w:rPr>
          <w:rFonts w:asciiTheme="minorHAnsi" w:hAnsiTheme="minorHAnsi"/>
          <w:sz w:val="22"/>
          <w:szCs w:val="22"/>
        </w:rPr>
        <w:t xml:space="preserve"> Since the proposed</w:t>
      </w:r>
      <w:r w:rsidRPr="669C45D2">
        <w:rPr>
          <w:rFonts w:asciiTheme="minorHAnsi" w:hAnsiTheme="minorHAnsi"/>
          <w:sz w:val="22"/>
          <w:szCs w:val="22"/>
        </w:rPr>
        <w:t xml:space="preserve"> “a” overlay zone</w:t>
      </w:r>
      <w:r w:rsidR="008F3675" w:rsidRPr="669C45D2">
        <w:rPr>
          <w:rFonts w:asciiTheme="minorHAnsi" w:hAnsiTheme="minorHAnsi"/>
          <w:sz w:val="22"/>
          <w:szCs w:val="22"/>
        </w:rPr>
        <w:t xml:space="preserve"> covers</w:t>
      </w:r>
      <w:r w:rsidRPr="669C45D2" w:rsidDel="00AC0A09">
        <w:rPr>
          <w:rFonts w:asciiTheme="minorHAnsi" w:hAnsiTheme="minorHAnsi"/>
          <w:sz w:val="22"/>
          <w:szCs w:val="22"/>
        </w:rPr>
        <w:t xml:space="preserve"> </w:t>
      </w:r>
      <w:r w:rsidR="00FC38E1" w:rsidRPr="669C45D2">
        <w:rPr>
          <w:rFonts w:asciiTheme="minorHAnsi" w:hAnsiTheme="minorHAnsi"/>
          <w:sz w:val="22"/>
          <w:szCs w:val="22"/>
        </w:rPr>
        <w:t xml:space="preserve">thousands of </w:t>
      </w:r>
      <w:r w:rsidR="00C24A1D" w:rsidRPr="669C45D2">
        <w:rPr>
          <w:rFonts w:asciiTheme="minorHAnsi" w:hAnsiTheme="minorHAnsi"/>
          <w:sz w:val="22"/>
          <w:szCs w:val="22"/>
        </w:rPr>
        <w:t xml:space="preserve">potential </w:t>
      </w:r>
      <w:r w:rsidR="00FC38E1" w:rsidRPr="669C45D2">
        <w:rPr>
          <w:rFonts w:asciiTheme="minorHAnsi" w:hAnsiTheme="minorHAnsi"/>
          <w:sz w:val="22"/>
          <w:szCs w:val="22"/>
        </w:rPr>
        <w:t>historic properties,</w:t>
      </w:r>
      <w:r w:rsidR="00E723C3" w:rsidRPr="669C45D2">
        <w:rPr>
          <w:rFonts w:asciiTheme="minorHAnsi" w:hAnsiTheme="minorHAnsi"/>
          <w:sz w:val="22"/>
          <w:szCs w:val="22"/>
        </w:rPr>
        <w:t xml:space="preserve"> the PHLC wants to ensure that the ability to </w:t>
      </w:r>
      <w:r w:rsidR="002D5D8C" w:rsidRPr="669C45D2">
        <w:rPr>
          <w:rFonts w:asciiTheme="minorHAnsi" w:hAnsiTheme="minorHAnsi"/>
          <w:sz w:val="22"/>
          <w:szCs w:val="22"/>
        </w:rPr>
        <w:t xml:space="preserve">construct </w:t>
      </w:r>
      <w:r w:rsidR="004B11D2" w:rsidRPr="669C45D2">
        <w:rPr>
          <w:rFonts w:asciiTheme="minorHAnsi" w:hAnsiTheme="minorHAnsi"/>
          <w:sz w:val="22"/>
          <w:szCs w:val="22"/>
        </w:rPr>
        <w:t xml:space="preserve">housing and </w:t>
      </w:r>
      <w:r w:rsidR="002D5D8C" w:rsidRPr="669C45D2">
        <w:rPr>
          <w:rFonts w:asciiTheme="minorHAnsi" w:hAnsiTheme="minorHAnsi"/>
          <w:sz w:val="22"/>
          <w:szCs w:val="22"/>
        </w:rPr>
        <w:t>additional dwelling units in the form of</w:t>
      </w:r>
      <w:r w:rsidR="001E664D" w:rsidRPr="669C45D2">
        <w:rPr>
          <w:rFonts w:asciiTheme="minorHAnsi" w:hAnsiTheme="minorHAnsi"/>
          <w:sz w:val="22"/>
          <w:szCs w:val="22"/>
        </w:rPr>
        <w:t xml:space="preserve"> multiple accessory dwelling units,</w:t>
      </w:r>
      <w:r w:rsidR="002D5D8C" w:rsidRPr="669C45D2">
        <w:rPr>
          <w:rFonts w:asciiTheme="minorHAnsi" w:hAnsiTheme="minorHAnsi"/>
          <w:sz w:val="22"/>
          <w:szCs w:val="22"/>
        </w:rPr>
        <w:t xml:space="preserve"> duplexes</w:t>
      </w:r>
      <w:r w:rsidR="001E664D" w:rsidRPr="669C45D2">
        <w:rPr>
          <w:rFonts w:asciiTheme="minorHAnsi" w:hAnsiTheme="minorHAnsi"/>
          <w:sz w:val="22"/>
          <w:szCs w:val="22"/>
        </w:rPr>
        <w:t>,</w:t>
      </w:r>
      <w:r w:rsidR="002D5D8C" w:rsidRPr="669C45D2">
        <w:rPr>
          <w:rFonts w:asciiTheme="minorHAnsi" w:hAnsiTheme="minorHAnsi"/>
          <w:sz w:val="22"/>
          <w:szCs w:val="22"/>
        </w:rPr>
        <w:t xml:space="preserve"> and triplexes does not further incentivize demolition of </w:t>
      </w:r>
      <w:r w:rsidR="00025169" w:rsidRPr="669C45D2">
        <w:rPr>
          <w:rFonts w:asciiTheme="minorHAnsi" w:hAnsiTheme="minorHAnsi"/>
          <w:sz w:val="22"/>
          <w:szCs w:val="22"/>
        </w:rPr>
        <w:t>older</w:t>
      </w:r>
      <w:r w:rsidR="004677C8" w:rsidRPr="669C45D2">
        <w:rPr>
          <w:rFonts w:asciiTheme="minorHAnsi" w:hAnsiTheme="minorHAnsi"/>
          <w:sz w:val="22"/>
          <w:szCs w:val="22"/>
        </w:rPr>
        <w:t xml:space="preserve"> houses. </w:t>
      </w:r>
      <w:r w:rsidR="001E664D" w:rsidRPr="669C45D2">
        <w:rPr>
          <w:rFonts w:asciiTheme="minorHAnsi" w:hAnsiTheme="minorHAnsi"/>
          <w:sz w:val="22"/>
          <w:szCs w:val="22"/>
        </w:rPr>
        <w:t xml:space="preserve"> </w:t>
      </w:r>
    </w:p>
    <w:p w14:paraId="2C29CC8F" w14:textId="2990AD03" w:rsidR="004677C8" w:rsidRPr="00B64EF1" w:rsidRDefault="004677C8" w:rsidP="00B64EF1">
      <w:pPr>
        <w:spacing w:after="120" w:line="195" w:lineRule="atLeast"/>
        <w:rPr>
          <w:rFonts w:asciiTheme="minorHAnsi" w:hAnsiTheme="minorHAnsi"/>
          <w:sz w:val="22"/>
          <w:szCs w:val="22"/>
        </w:rPr>
      </w:pPr>
      <w:r w:rsidRPr="61FD7040">
        <w:rPr>
          <w:rFonts w:asciiTheme="minorHAnsi" w:hAnsiTheme="minorHAnsi"/>
          <w:sz w:val="22"/>
          <w:szCs w:val="22"/>
        </w:rPr>
        <w:lastRenderedPageBreak/>
        <w:t xml:space="preserve">As proposed, historic preservation incentives in the “a” overlay may apply to ADUs, duplexes, and triplexes in Historic or Conservation Districts, Historic or Conservation Landmarks, or properties categorized as Rank I, II, or III on the HRI. </w:t>
      </w:r>
      <w:r w:rsidRPr="00852A14">
        <w:rPr>
          <w:rFonts w:asciiTheme="minorHAnsi" w:hAnsiTheme="minorHAnsi"/>
          <w:b/>
          <w:bCs/>
          <w:sz w:val="22"/>
          <w:szCs w:val="22"/>
        </w:rPr>
        <w:t>We encourage you to consider opening a pathway to apply these additional standards and incentives for preservation more broadly—to any structure older than 50 years</w:t>
      </w:r>
      <w:r w:rsidRPr="61FD7040">
        <w:rPr>
          <w:rFonts w:asciiTheme="minorHAnsi" w:hAnsiTheme="minorHAnsi"/>
          <w:sz w:val="22"/>
          <w:szCs w:val="22"/>
        </w:rPr>
        <w:t>. We acknowledge that some houses that are not historically significant will be eligible for this “incentives track,” but since it is a voluntary option, it may help to save older resources. This is particularly important given the amount of time that has elapsed since the last Historic Resource Inventory, as structures 50 years or older are generally considered eligible to be considered for historic resource designation at the state or federal level. Extending incentives to preserve structures older than 50 years would</w:t>
      </w:r>
      <w:r w:rsidR="003C013B" w:rsidRPr="61FD7040">
        <w:rPr>
          <w:rFonts w:asciiTheme="minorHAnsi" w:hAnsiTheme="minorHAnsi"/>
          <w:sz w:val="22"/>
          <w:szCs w:val="22"/>
        </w:rPr>
        <w:t xml:space="preserve"> help to tip the scale in favor of</w:t>
      </w:r>
      <w:r w:rsidRPr="61FD7040">
        <w:rPr>
          <w:rFonts w:asciiTheme="minorHAnsi" w:hAnsiTheme="minorHAnsi"/>
          <w:sz w:val="22"/>
          <w:szCs w:val="22"/>
        </w:rPr>
        <w:t xml:space="preserve"> </w:t>
      </w:r>
      <w:r w:rsidR="003F3D22" w:rsidRPr="61FD7040">
        <w:rPr>
          <w:rFonts w:asciiTheme="minorHAnsi" w:hAnsiTheme="minorHAnsi"/>
          <w:sz w:val="22"/>
          <w:szCs w:val="22"/>
        </w:rPr>
        <w:t>preserving</w:t>
      </w:r>
      <w:r w:rsidRPr="61FD7040">
        <w:rPr>
          <w:rFonts w:asciiTheme="minorHAnsi" w:hAnsiTheme="minorHAnsi"/>
          <w:sz w:val="22"/>
          <w:szCs w:val="22"/>
        </w:rPr>
        <w:t xml:space="preserve"> existing affordable, middle-housing rather than replacing existing older houses with expensive new housing that will be financially out of reach for many Portlanders</w:t>
      </w:r>
      <w:r w:rsidR="00E768B4" w:rsidRPr="61FD7040">
        <w:rPr>
          <w:rFonts w:asciiTheme="minorHAnsi" w:hAnsiTheme="minorHAnsi"/>
          <w:sz w:val="22"/>
          <w:szCs w:val="22"/>
        </w:rPr>
        <w:t>. Furthermore, extending these incentives</w:t>
      </w:r>
      <w:r w:rsidR="003F3D22" w:rsidRPr="61FD7040">
        <w:rPr>
          <w:rFonts w:asciiTheme="minorHAnsi" w:hAnsiTheme="minorHAnsi"/>
          <w:sz w:val="22"/>
          <w:szCs w:val="22"/>
        </w:rPr>
        <w:t xml:space="preserve"> </w:t>
      </w:r>
      <w:r w:rsidR="00E768B4" w:rsidRPr="61FD7040">
        <w:rPr>
          <w:rFonts w:asciiTheme="minorHAnsi" w:hAnsiTheme="minorHAnsi"/>
          <w:sz w:val="22"/>
          <w:szCs w:val="22"/>
        </w:rPr>
        <w:t>could</w:t>
      </w:r>
      <w:r w:rsidR="003F3D22" w:rsidRPr="61FD7040">
        <w:rPr>
          <w:rFonts w:asciiTheme="minorHAnsi" w:hAnsiTheme="minorHAnsi"/>
          <w:sz w:val="22"/>
          <w:szCs w:val="22"/>
        </w:rPr>
        <w:t xml:space="preserve"> reduce</w:t>
      </w:r>
      <w:r w:rsidR="006A6334" w:rsidRPr="61FD7040">
        <w:rPr>
          <w:rFonts w:asciiTheme="minorHAnsi" w:hAnsiTheme="minorHAnsi"/>
          <w:sz w:val="22"/>
          <w:szCs w:val="22"/>
        </w:rPr>
        <w:t xml:space="preserve"> the number of demolitions without burdening property owners with additional fees or onerous process.</w:t>
      </w:r>
      <w:r w:rsidR="0002665B" w:rsidRPr="61FD7040">
        <w:rPr>
          <w:rFonts w:asciiTheme="minorHAnsi" w:hAnsiTheme="minorHAnsi"/>
          <w:sz w:val="22"/>
          <w:szCs w:val="22"/>
        </w:rPr>
        <w:t xml:space="preserve">  Without adequate opportunities to avoid and minimize the adverse impacts to historical resources in the “a” overlay, it could be argued that the City is not meeting its stewardship</w:t>
      </w:r>
      <w:r w:rsidR="61FD7040" w:rsidRPr="61FD7040">
        <w:rPr>
          <w:rFonts w:asciiTheme="minorHAnsi" w:hAnsiTheme="minorHAnsi"/>
          <w:sz w:val="22"/>
          <w:szCs w:val="22"/>
        </w:rPr>
        <w:t xml:space="preserve"> </w:t>
      </w:r>
      <w:r w:rsidR="0002665B" w:rsidRPr="61FD7040">
        <w:rPr>
          <w:rFonts w:asciiTheme="minorHAnsi" w:hAnsiTheme="minorHAnsi"/>
          <w:sz w:val="22"/>
          <w:szCs w:val="22"/>
        </w:rPr>
        <w:t xml:space="preserve">obligations under Goal 5.  </w:t>
      </w:r>
    </w:p>
    <w:p w14:paraId="5A995879" w14:textId="77777777" w:rsidR="00DD21B6" w:rsidRDefault="00DD21B6" w:rsidP="007725F1">
      <w:pPr>
        <w:spacing w:line="195" w:lineRule="atLeast"/>
        <w:rPr>
          <w:rFonts w:asciiTheme="minorHAnsi" w:hAnsiTheme="minorHAnsi"/>
          <w:sz w:val="22"/>
          <w:szCs w:val="22"/>
        </w:rPr>
      </w:pPr>
    </w:p>
    <w:p w14:paraId="47E40195" w14:textId="77777777" w:rsidR="002D5D8C" w:rsidRPr="00286671" w:rsidRDefault="002D5D8C" w:rsidP="002D5D8C">
      <w:pPr>
        <w:spacing w:after="120" w:line="195" w:lineRule="atLeast"/>
        <w:rPr>
          <w:rFonts w:asciiTheme="minorHAnsi" w:hAnsiTheme="minorHAnsi"/>
          <w:b/>
          <w:i/>
          <w:sz w:val="22"/>
          <w:szCs w:val="22"/>
        </w:rPr>
      </w:pPr>
      <w:r w:rsidRPr="00286671">
        <w:rPr>
          <w:rFonts w:asciiTheme="minorHAnsi" w:hAnsiTheme="minorHAnsi"/>
          <w:b/>
          <w:i/>
          <w:sz w:val="22"/>
          <w:szCs w:val="22"/>
        </w:rPr>
        <w:t>Expand incentives to preserve</w:t>
      </w:r>
      <w:r w:rsidR="00EA1887" w:rsidRPr="00286671">
        <w:rPr>
          <w:rFonts w:asciiTheme="minorHAnsi" w:hAnsiTheme="minorHAnsi"/>
          <w:b/>
          <w:i/>
          <w:sz w:val="22"/>
          <w:szCs w:val="22"/>
        </w:rPr>
        <w:t xml:space="preserve"> historic</w:t>
      </w:r>
      <w:r w:rsidRPr="00286671">
        <w:rPr>
          <w:rFonts w:asciiTheme="minorHAnsi" w:hAnsiTheme="minorHAnsi"/>
          <w:b/>
          <w:i/>
          <w:sz w:val="22"/>
          <w:szCs w:val="22"/>
        </w:rPr>
        <w:t xml:space="preserve"> housing </w:t>
      </w:r>
      <w:r w:rsidR="00EA1887" w:rsidRPr="00286671">
        <w:rPr>
          <w:rFonts w:asciiTheme="minorHAnsi" w:hAnsiTheme="minorHAnsi"/>
          <w:b/>
          <w:i/>
          <w:sz w:val="22"/>
          <w:szCs w:val="22"/>
        </w:rPr>
        <w:t xml:space="preserve">and housing </w:t>
      </w:r>
      <w:r w:rsidRPr="00286671">
        <w:rPr>
          <w:rFonts w:asciiTheme="minorHAnsi" w:hAnsiTheme="minorHAnsi"/>
          <w:b/>
          <w:i/>
          <w:sz w:val="22"/>
          <w:szCs w:val="22"/>
        </w:rPr>
        <w:t>older than 50 years</w:t>
      </w:r>
    </w:p>
    <w:p w14:paraId="111D92FD" w14:textId="77777777" w:rsidR="003E21C9" w:rsidRDefault="004677C8" w:rsidP="00D42A82">
      <w:pPr>
        <w:spacing w:after="120" w:line="195" w:lineRule="atLeast"/>
        <w:rPr>
          <w:rFonts w:asciiTheme="minorHAnsi" w:hAnsiTheme="minorHAnsi"/>
          <w:sz w:val="22"/>
          <w:szCs w:val="22"/>
        </w:rPr>
      </w:pPr>
      <w:r w:rsidRPr="00286671">
        <w:rPr>
          <w:rFonts w:asciiTheme="minorHAnsi" w:hAnsiTheme="minorHAnsi"/>
          <w:sz w:val="22"/>
          <w:szCs w:val="22"/>
        </w:rPr>
        <w:t>At present, the Proposed Draft includes</w:t>
      </w:r>
      <w:r w:rsidR="003E21C9" w:rsidRPr="00286671">
        <w:rPr>
          <w:rFonts w:asciiTheme="minorHAnsi" w:hAnsiTheme="minorHAnsi"/>
          <w:sz w:val="22"/>
          <w:szCs w:val="22"/>
        </w:rPr>
        <w:t xml:space="preserve"> </w:t>
      </w:r>
      <w:r w:rsidRPr="00286671">
        <w:rPr>
          <w:rFonts w:asciiTheme="minorHAnsi" w:hAnsiTheme="minorHAnsi"/>
          <w:sz w:val="22"/>
          <w:szCs w:val="22"/>
        </w:rPr>
        <w:t xml:space="preserve">only </w:t>
      </w:r>
      <w:r w:rsidR="003E21C9" w:rsidRPr="00286671">
        <w:rPr>
          <w:rFonts w:asciiTheme="minorHAnsi" w:hAnsiTheme="minorHAnsi"/>
          <w:sz w:val="22"/>
          <w:szCs w:val="22"/>
        </w:rPr>
        <w:t xml:space="preserve">limited incentives </w:t>
      </w:r>
      <w:r w:rsidR="00E043ED" w:rsidRPr="00286671">
        <w:rPr>
          <w:rFonts w:asciiTheme="minorHAnsi" w:hAnsiTheme="minorHAnsi"/>
          <w:sz w:val="22"/>
          <w:szCs w:val="22"/>
        </w:rPr>
        <w:t>to help retain</w:t>
      </w:r>
      <w:r w:rsidR="003E21C9" w:rsidRPr="00286671">
        <w:rPr>
          <w:rFonts w:asciiTheme="minorHAnsi" w:hAnsiTheme="minorHAnsi"/>
          <w:sz w:val="22"/>
          <w:szCs w:val="22"/>
        </w:rPr>
        <w:t xml:space="preserve"> </w:t>
      </w:r>
      <w:r w:rsidR="00EA1887" w:rsidRPr="00286671">
        <w:rPr>
          <w:rFonts w:asciiTheme="minorHAnsi" w:hAnsiTheme="minorHAnsi"/>
          <w:sz w:val="22"/>
          <w:szCs w:val="22"/>
        </w:rPr>
        <w:t xml:space="preserve">identified </w:t>
      </w:r>
      <w:r w:rsidR="003E21C9" w:rsidRPr="00286671">
        <w:rPr>
          <w:rFonts w:asciiTheme="minorHAnsi" w:hAnsiTheme="minorHAnsi"/>
          <w:sz w:val="22"/>
          <w:szCs w:val="22"/>
        </w:rPr>
        <w:t>historic resources in chapter 33.</w:t>
      </w:r>
      <w:r w:rsidR="001E664D" w:rsidRPr="00286671">
        <w:rPr>
          <w:rFonts w:asciiTheme="minorHAnsi" w:hAnsiTheme="minorHAnsi"/>
          <w:sz w:val="22"/>
          <w:szCs w:val="22"/>
        </w:rPr>
        <w:t xml:space="preserve">405 of the Proposed Draft code; </w:t>
      </w:r>
      <w:r w:rsidR="000A50E6" w:rsidRPr="00286671">
        <w:rPr>
          <w:rFonts w:asciiTheme="minorHAnsi" w:hAnsiTheme="minorHAnsi"/>
          <w:sz w:val="22"/>
          <w:szCs w:val="22"/>
        </w:rPr>
        <w:t xml:space="preserve">these </w:t>
      </w:r>
      <w:r w:rsidRPr="00286671">
        <w:rPr>
          <w:rFonts w:asciiTheme="minorHAnsi" w:hAnsiTheme="minorHAnsi"/>
          <w:sz w:val="22"/>
          <w:szCs w:val="22"/>
        </w:rPr>
        <w:t xml:space="preserve">incentives </w:t>
      </w:r>
      <w:r w:rsidR="000A50E6" w:rsidRPr="00286671">
        <w:rPr>
          <w:rFonts w:asciiTheme="minorHAnsi" w:hAnsiTheme="minorHAnsi"/>
          <w:sz w:val="22"/>
          <w:szCs w:val="22"/>
        </w:rPr>
        <w:t>are limited to aggregating allowed FAR for primary and accessory structures</w:t>
      </w:r>
      <w:r w:rsidR="001E664D" w:rsidRPr="00286671">
        <w:rPr>
          <w:rFonts w:asciiTheme="minorHAnsi" w:hAnsiTheme="minorHAnsi"/>
          <w:sz w:val="22"/>
          <w:szCs w:val="22"/>
        </w:rPr>
        <w:t xml:space="preserve"> for use anywhere on the site</w:t>
      </w:r>
      <w:r w:rsidR="000A50E6" w:rsidRPr="00286671">
        <w:rPr>
          <w:rFonts w:asciiTheme="minorHAnsi" w:hAnsiTheme="minorHAnsi"/>
          <w:sz w:val="22"/>
          <w:szCs w:val="22"/>
        </w:rPr>
        <w:t xml:space="preserve">. </w:t>
      </w:r>
      <w:r w:rsidR="003C013B" w:rsidRPr="00286671">
        <w:rPr>
          <w:rFonts w:asciiTheme="minorHAnsi" w:hAnsiTheme="minorHAnsi"/>
          <w:sz w:val="22"/>
          <w:szCs w:val="22"/>
        </w:rPr>
        <w:t>New restrictions</w:t>
      </w:r>
      <w:r w:rsidR="000A50E6" w:rsidRPr="00286671">
        <w:rPr>
          <w:rFonts w:asciiTheme="minorHAnsi" w:hAnsiTheme="minorHAnsi"/>
          <w:sz w:val="22"/>
          <w:szCs w:val="22"/>
        </w:rPr>
        <w:t xml:space="preserve"> are </w:t>
      </w:r>
      <w:r w:rsidRPr="00286671">
        <w:rPr>
          <w:rFonts w:asciiTheme="minorHAnsi" w:hAnsiTheme="minorHAnsi"/>
          <w:sz w:val="22"/>
          <w:szCs w:val="22"/>
        </w:rPr>
        <w:t xml:space="preserve">also </w:t>
      </w:r>
      <w:r w:rsidR="000A50E6" w:rsidRPr="00286671">
        <w:rPr>
          <w:rFonts w:asciiTheme="minorHAnsi" w:hAnsiTheme="minorHAnsi"/>
          <w:sz w:val="22"/>
          <w:szCs w:val="22"/>
        </w:rPr>
        <w:t>placed on</w:t>
      </w:r>
      <w:r w:rsidR="003C013B" w:rsidRPr="00286671">
        <w:rPr>
          <w:rFonts w:asciiTheme="minorHAnsi" w:hAnsiTheme="minorHAnsi"/>
          <w:sz w:val="22"/>
          <w:szCs w:val="22"/>
        </w:rPr>
        <w:t xml:space="preserve"> alterations to</w:t>
      </w:r>
      <w:r w:rsidR="000A50E6" w:rsidRPr="00286671">
        <w:rPr>
          <w:rFonts w:asciiTheme="minorHAnsi" w:hAnsiTheme="minorHAnsi"/>
          <w:sz w:val="22"/>
          <w:szCs w:val="22"/>
        </w:rPr>
        <w:t xml:space="preserve"> identified historic structures</w:t>
      </w:r>
      <w:r w:rsidRPr="00286671">
        <w:rPr>
          <w:rFonts w:asciiTheme="minorHAnsi" w:hAnsiTheme="minorHAnsi"/>
          <w:sz w:val="22"/>
          <w:szCs w:val="22"/>
        </w:rPr>
        <w:t xml:space="preserve">. </w:t>
      </w:r>
      <w:r w:rsidR="000A50E6" w:rsidRPr="00286671">
        <w:rPr>
          <w:rFonts w:asciiTheme="minorHAnsi" w:hAnsiTheme="minorHAnsi"/>
          <w:sz w:val="22"/>
          <w:szCs w:val="22"/>
        </w:rPr>
        <w:t xml:space="preserve"> </w:t>
      </w:r>
    </w:p>
    <w:p w14:paraId="369CAFEE" w14:textId="5D275444" w:rsidR="003C013B" w:rsidRPr="00B64EF1" w:rsidRDefault="003C013B" w:rsidP="00B64EF1">
      <w:pPr>
        <w:spacing w:after="120" w:line="195" w:lineRule="atLeast"/>
        <w:rPr>
          <w:rFonts w:asciiTheme="minorHAnsi" w:hAnsiTheme="minorHAnsi"/>
          <w:sz w:val="22"/>
          <w:szCs w:val="22"/>
        </w:rPr>
      </w:pPr>
      <w:r w:rsidRPr="669C45D2">
        <w:rPr>
          <w:rFonts w:asciiTheme="minorHAnsi" w:hAnsiTheme="minorHAnsi"/>
          <w:sz w:val="22"/>
          <w:szCs w:val="22"/>
        </w:rPr>
        <w:t xml:space="preserve">The PHLC believes, however, that the proposed incentives are not </w:t>
      </w:r>
      <w:r w:rsidR="0002665B" w:rsidRPr="669C45D2">
        <w:rPr>
          <w:rFonts w:asciiTheme="minorHAnsi" w:hAnsiTheme="minorHAnsi"/>
          <w:sz w:val="22"/>
          <w:szCs w:val="22"/>
        </w:rPr>
        <w:t xml:space="preserve">nearly </w:t>
      </w:r>
      <w:r w:rsidRPr="669C45D2">
        <w:rPr>
          <w:rFonts w:asciiTheme="minorHAnsi" w:hAnsiTheme="minorHAnsi"/>
          <w:sz w:val="22"/>
          <w:szCs w:val="22"/>
        </w:rPr>
        <w:t xml:space="preserve">robust enough, and an unintended outcome of the proposed code </w:t>
      </w:r>
      <w:r w:rsidR="0002665B" w:rsidRPr="669C45D2">
        <w:rPr>
          <w:rFonts w:asciiTheme="minorHAnsi" w:hAnsiTheme="minorHAnsi"/>
          <w:sz w:val="22"/>
          <w:szCs w:val="22"/>
        </w:rPr>
        <w:t>will</w:t>
      </w:r>
      <w:r w:rsidRPr="669C45D2">
        <w:rPr>
          <w:rFonts w:asciiTheme="minorHAnsi" w:hAnsiTheme="minorHAnsi"/>
          <w:sz w:val="22"/>
          <w:szCs w:val="22"/>
        </w:rPr>
        <w:t xml:space="preserve"> result in the demolition of </w:t>
      </w:r>
      <w:r w:rsidR="00C24A1D" w:rsidRPr="669C45D2">
        <w:rPr>
          <w:rFonts w:asciiTheme="minorHAnsi" w:hAnsiTheme="minorHAnsi"/>
          <w:sz w:val="22"/>
          <w:szCs w:val="22"/>
        </w:rPr>
        <w:t xml:space="preserve">many of </w:t>
      </w:r>
      <w:r w:rsidRPr="669C45D2">
        <w:rPr>
          <w:rFonts w:asciiTheme="minorHAnsi" w:hAnsiTheme="minorHAnsi"/>
          <w:sz w:val="22"/>
          <w:szCs w:val="22"/>
        </w:rPr>
        <w:t>the smallest and most-affordable houses. Additional</w:t>
      </w:r>
      <w:r w:rsidR="0002665B" w:rsidRPr="669C45D2">
        <w:rPr>
          <w:rFonts w:asciiTheme="minorHAnsi" w:hAnsiTheme="minorHAnsi"/>
          <w:sz w:val="22"/>
          <w:szCs w:val="22"/>
        </w:rPr>
        <w:t xml:space="preserve"> permitting</w:t>
      </w:r>
      <w:r w:rsidRPr="669C45D2">
        <w:rPr>
          <w:rFonts w:asciiTheme="minorHAnsi" w:hAnsiTheme="minorHAnsi"/>
          <w:sz w:val="22"/>
          <w:szCs w:val="22"/>
        </w:rPr>
        <w:t xml:space="preserve"> incentives</w:t>
      </w:r>
      <w:r w:rsidR="0002665B" w:rsidRPr="669C45D2">
        <w:rPr>
          <w:rFonts w:asciiTheme="minorHAnsi" w:hAnsiTheme="minorHAnsi"/>
          <w:sz w:val="22"/>
          <w:szCs w:val="22"/>
        </w:rPr>
        <w:t>, such as fee waivers,</w:t>
      </w:r>
      <w:r w:rsidRPr="669C45D2">
        <w:rPr>
          <w:rFonts w:asciiTheme="minorHAnsi" w:hAnsiTheme="minorHAnsi"/>
          <w:sz w:val="22"/>
          <w:szCs w:val="22"/>
        </w:rPr>
        <w:t xml:space="preserve"> to preserve these historic and older houses should be provided.</w:t>
      </w:r>
    </w:p>
    <w:p w14:paraId="341603E5" w14:textId="77777777" w:rsidR="00DB05AE" w:rsidRDefault="00DB05AE" w:rsidP="00D42A82">
      <w:pPr>
        <w:spacing w:after="120" w:line="195" w:lineRule="atLeast"/>
        <w:rPr>
          <w:rFonts w:asciiTheme="minorHAnsi" w:hAnsiTheme="minorHAnsi"/>
          <w:sz w:val="22"/>
          <w:szCs w:val="22"/>
        </w:rPr>
      </w:pPr>
    </w:p>
    <w:p w14:paraId="4BA03824" w14:textId="77777777" w:rsidR="003A7633" w:rsidRPr="00DB05AE" w:rsidRDefault="00444719" w:rsidP="00DB05AE">
      <w:pPr>
        <w:spacing w:after="120" w:line="195" w:lineRule="atLeast"/>
        <w:rPr>
          <w:rFonts w:asciiTheme="minorHAnsi" w:hAnsiTheme="minorHAnsi"/>
          <w:b/>
          <w:i/>
          <w:sz w:val="22"/>
          <w:szCs w:val="22"/>
        </w:rPr>
      </w:pPr>
      <w:r w:rsidRPr="00DB05AE">
        <w:rPr>
          <w:rFonts w:asciiTheme="minorHAnsi" w:hAnsiTheme="minorHAnsi"/>
          <w:b/>
          <w:i/>
          <w:sz w:val="22"/>
          <w:szCs w:val="22"/>
        </w:rPr>
        <w:t>Additional standards for historic resources are too permissive</w:t>
      </w:r>
    </w:p>
    <w:p w14:paraId="5C968FA6" w14:textId="410B36B6" w:rsidR="00444719" w:rsidRPr="00B64EF1" w:rsidRDefault="00444719" w:rsidP="00B64EF1">
      <w:pPr>
        <w:spacing w:line="195" w:lineRule="atLeast"/>
        <w:rPr>
          <w:rFonts w:asciiTheme="minorHAnsi" w:hAnsiTheme="minorHAnsi"/>
          <w:sz w:val="22"/>
          <w:szCs w:val="22"/>
        </w:rPr>
      </w:pPr>
      <w:r w:rsidRPr="669C45D2">
        <w:rPr>
          <w:rFonts w:asciiTheme="minorHAnsi" w:hAnsiTheme="minorHAnsi"/>
          <w:sz w:val="22"/>
          <w:szCs w:val="22"/>
        </w:rPr>
        <w:t xml:space="preserve">Proposed “additional standards for historic resources” in the “a” overlay zone </w:t>
      </w:r>
      <w:r w:rsidR="00D736B5" w:rsidRPr="669C45D2">
        <w:rPr>
          <w:rFonts w:asciiTheme="minorHAnsi" w:hAnsiTheme="minorHAnsi"/>
          <w:sz w:val="22"/>
          <w:szCs w:val="22"/>
        </w:rPr>
        <w:t>could inspire incompatible over-sized proposals</w:t>
      </w:r>
      <w:r w:rsidRPr="669C45D2">
        <w:rPr>
          <w:rFonts w:asciiTheme="minorHAnsi" w:hAnsiTheme="minorHAnsi"/>
          <w:sz w:val="22"/>
          <w:szCs w:val="22"/>
        </w:rPr>
        <w:t xml:space="preserve"> </w:t>
      </w:r>
      <w:r w:rsidR="00D736B5" w:rsidRPr="669C45D2">
        <w:rPr>
          <w:rFonts w:asciiTheme="minorHAnsi" w:hAnsiTheme="minorHAnsi"/>
          <w:sz w:val="22"/>
          <w:szCs w:val="22"/>
        </w:rPr>
        <w:t xml:space="preserve">by </w:t>
      </w:r>
      <w:r w:rsidRPr="669C45D2">
        <w:rPr>
          <w:rFonts w:asciiTheme="minorHAnsi" w:hAnsiTheme="minorHAnsi"/>
          <w:sz w:val="22"/>
          <w:szCs w:val="22"/>
        </w:rPr>
        <w:t>suggest</w:t>
      </w:r>
      <w:r w:rsidR="00D736B5" w:rsidRPr="669C45D2">
        <w:rPr>
          <w:rFonts w:asciiTheme="minorHAnsi" w:hAnsiTheme="minorHAnsi"/>
          <w:sz w:val="22"/>
          <w:szCs w:val="22"/>
        </w:rPr>
        <w:t>ing</w:t>
      </w:r>
      <w:r w:rsidR="00DB05AE" w:rsidRPr="669C45D2">
        <w:rPr>
          <w:rFonts w:asciiTheme="minorHAnsi" w:hAnsiTheme="minorHAnsi"/>
          <w:sz w:val="22"/>
          <w:szCs w:val="22"/>
        </w:rPr>
        <w:t xml:space="preserve"> a new entitlement rather than a maximum allowance. Provisions in these code sections allow for Historic Resource Review approval to exceed these limits, though the </w:t>
      </w:r>
      <w:r w:rsidR="001F59A9" w:rsidRPr="669C45D2">
        <w:rPr>
          <w:rFonts w:asciiTheme="minorHAnsi" w:hAnsiTheme="minorHAnsi"/>
          <w:sz w:val="22"/>
          <w:szCs w:val="22"/>
        </w:rPr>
        <w:t>C</w:t>
      </w:r>
      <w:r w:rsidR="00DB05AE" w:rsidRPr="669C45D2">
        <w:rPr>
          <w:rFonts w:asciiTheme="minorHAnsi" w:hAnsiTheme="minorHAnsi"/>
          <w:sz w:val="22"/>
          <w:szCs w:val="22"/>
        </w:rPr>
        <w:t xml:space="preserve">ommission, </w:t>
      </w:r>
      <w:r w:rsidR="00D736B5" w:rsidRPr="669C45D2">
        <w:rPr>
          <w:rFonts w:asciiTheme="minorHAnsi" w:hAnsiTheme="minorHAnsi"/>
          <w:sz w:val="22"/>
          <w:szCs w:val="22"/>
        </w:rPr>
        <w:t>applying the relevant approval criteria in</w:t>
      </w:r>
      <w:r w:rsidR="001F59A9" w:rsidRPr="669C45D2">
        <w:rPr>
          <w:rFonts w:asciiTheme="minorHAnsi" w:hAnsiTheme="minorHAnsi"/>
          <w:sz w:val="22"/>
          <w:szCs w:val="22"/>
        </w:rPr>
        <w:t xml:space="preserve"> historic districts,</w:t>
      </w:r>
      <w:r w:rsidR="00DB05AE" w:rsidRPr="669C45D2">
        <w:rPr>
          <w:rFonts w:asciiTheme="minorHAnsi" w:hAnsiTheme="minorHAnsi"/>
          <w:sz w:val="22"/>
          <w:szCs w:val="22"/>
        </w:rPr>
        <w:t xml:space="preserve"> would </w:t>
      </w:r>
      <w:r w:rsidR="001F59A9" w:rsidRPr="669C45D2">
        <w:rPr>
          <w:rFonts w:asciiTheme="minorHAnsi" w:hAnsiTheme="minorHAnsi"/>
          <w:sz w:val="22"/>
          <w:szCs w:val="22"/>
        </w:rPr>
        <w:t xml:space="preserve">be challenged to </w:t>
      </w:r>
      <w:r w:rsidR="00DB05AE" w:rsidRPr="669C45D2">
        <w:rPr>
          <w:rFonts w:asciiTheme="minorHAnsi" w:hAnsiTheme="minorHAnsi"/>
          <w:sz w:val="22"/>
          <w:szCs w:val="22"/>
        </w:rPr>
        <w:t>support alterations on the scale of the maximum allowances. These standards should be reconsidered to better retain the integrity of the city’s historic resources.</w:t>
      </w:r>
    </w:p>
    <w:p w14:paraId="1711B397" w14:textId="77777777" w:rsidR="00DB05AE" w:rsidRDefault="00DB05AE" w:rsidP="00DB05AE">
      <w:pPr>
        <w:spacing w:after="120" w:line="195" w:lineRule="atLeast"/>
        <w:rPr>
          <w:rFonts w:asciiTheme="minorHAnsi" w:hAnsiTheme="minorHAnsi"/>
          <w:sz w:val="22"/>
          <w:szCs w:val="22"/>
        </w:rPr>
      </w:pPr>
    </w:p>
    <w:p w14:paraId="1D236AFE" w14:textId="77777777" w:rsidR="00126E2F" w:rsidRDefault="00126E2F" w:rsidP="00D42A82">
      <w:pPr>
        <w:spacing w:after="120" w:line="195" w:lineRule="atLeast"/>
        <w:rPr>
          <w:rFonts w:asciiTheme="minorHAnsi" w:hAnsiTheme="minorHAnsi"/>
          <w:b/>
          <w:i/>
          <w:sz w:val="22"/>
          <w:szCs w:val="22"/>
        </w:rPr>
      </w:pPr>
      <w:r>
        <w:rPr>
          <w:rFonts w:asciiTheme="minorHAnsi" w:hAnsiTheme="minorHAnsi"/>
          <w:b/>
          <w:i/>
          <w:sz w:val="22"/>
          <w:szCs w:val="22"/>
        </w:rPr>
        <w:t xml:space="preserve">Neighborhood Compatibility </w:t>
      </w:r>
    </w:p>
    <w:p w14:paraId="72CC6285" w14:textId="5F45E683" w:rsidR="0038431F" w:rsidRPr="00B64EF1" w:rsidRDefault="00A30887" w:rsidP="00B64EF1">
      <w:pPr>
        <w:spacing w:after="120" w:line="195" w:lineRule="atLeast"/>
        <w:rPr>
          <w:rFonts w:asciiTheme="minorHAnsi" w:hAnsiTheme="minorHAnsi"/>
          <w:sz w:val="22"/>
          <w:szCs w:val="22"/>
        </w:rPr>
      </w:pPr>
      <w:r w:rsidRPr="669C45D2">
        <w:rPr>
          <w:rFonts w:asciiTheme="minorHAnsi" w:hAnsiTheme="minorHAnsi"/>
          <w:sz w:val="22"/>
          <w:szCs w:val="22"/>
        </w:rPr>
        <w:t xml:space="preserve">Any </w:t>
      </w:r>
      <w:r w:rsidR="00353200" w:rsidRPr="669C45D2">
        <w:rPr>
          <w:rFonts w:asciiTheme="minorHAnsi" w:hAnsiTheme="minorHAnsi"/>
          <w:sz w:val="22"/>
          <w:szCs w:val="22"/>
        </w:rPr>
        <w:t>H</w:t>
      </w:r>
      <w:r w:rsidRPr="669C45D2">
        <w:rPr>
          <w:rFonts w:asciiTheme="minorHAnsi" w:hAnsiTheme="minorHAnsi"/>
          <w:sz w:val="22"/>
          <w:szCs w:val="22"/>
        </w:rPr>
        <w:t xml:space="preserve">istoric </w:t>
      </w:r>
      <w:r w:rsidR="00C877CB" w:rsidRPr="669C45D2">
        <w:rPr>
          <w:rFonts w:asciiTheme="minorHAnsi" w:hAnsiTheme="minorHAnsi"/>
          <w:sz w:val="22"/>
          <w:szCs w:val="22"/>
        </w:rPr>
        <w:t xml:space="preserve">or Conservation </w:t>
      </w:r>
      <w:r w:rsidR="00353200" w:rsidRPr="669C45D2">
        <w:rPr>
          <w:rFonts w:asciiTheme="minorHAnsi" w:hAnsiTheme="minorHAnsi"/>
          <w:sz w:val="22"/>
          <w:szCs w:val="22"/>
        </w:rPr>
        <w:t>D</w:t>
      </w:r>
      <w:r w:rsidRPr="669C45D2">
        <w:rPr>
          <w:rFonts w:asciiTheme="minorHAnsi" w:hAnsiTheme="minorHAnsi"/>
          <w:sz w:val="22"/>
          <w:szCs w:val="22"/>
        </w:rPr>
        <w:t xml:space="preserve">istrict must be understood as a single historic resource. The most critical aspect of a historic district is not any individual building, but the cohesion of the district’s component parts, both new and old. One should be able to see a relationship of </w:t>
      </w:r>
      <w:r w:rsidR="0002665B" w:rsidRPr="669C45D2">
        <w:rPr>
          <w:rFonts w:asciiTheme="minorHAnsi" w:hAnsiTheme="minorHAnsi"/>
          <w:sz w:val="22"/>
          <w:szCs w:val="22"/>
        </w:rPr>
        <w:t>buildings</w:t>
      </w:r>
      <w:r w:rsidRPr="669C45D2">
        <w:rPr>
          <w:rFonts w:asciiTheme="minorHAnsi" w:hAnsiTheme="minorHAnsi"/>
          <w:sz w:val="22"/>
          <w:szCs w:val="22"/>
        </w:rPr>
        <w:t xml:space="preserve"> to each other within a </w:t>
      </w:r>
      <w:r w:rsidR="00353200" w:rsidRPr="669C45D2">
        <w:rPr>
          <w:rFonts w:asciiTheme="minorHAnsi" w:hAnsiTheme="minorHAnsi"/>
          <w:sz w:val="22"/>
          <w:szCs w:val="22"/>
        </w:rPr>
        <w:t>H</w:t>
      </w:r>
      <w:r w:rsidRPr="669C45D2">
        <w:rPr>
          <w:rFonts w:asciiTheme="minorHAnsi" w:hAnsiTheme="minorHAnsi"/>
          <w:sz w:val="22"/>
          <w:szCs w:val="22"/>
        </w:rPr>
        <w:t xml:space="preserve">istoric </w:t>
      </w:r>
      <w:r w:rsidR="00353200" w:rsidRPr="669C45D2">
        <w:rPr>
          <w:rFonts w:asciiTheme="minorHAnsi" w:hAnsiTheme="minorHAnsi"/>
          <w:sz w:val="22"/>
          <w:szCs w:val="22"/>
        </w:rPr>
        <w:t>D</w:t>
      </w:r>
      <w:r w:rsidRPr="669C45D2">
        <w:rPr>
          <w:rFonts w:asciiTheme="minorHAnsi" w:hAnsiTheme="minorHAnsi"/>
          <w:sz w:val="22"/>
          <w:szCs w:val="22"/>
        </w:rPr>
        <w:t>istrict. Scale</w:t>
      </w:r>
      <w:r w:rsidR="0002665B" w:rsidRPr="669C45D2">
        <w:rPr>
          <w:rFonts w:asciiTheme="minorHAnsi" w:hAnsiTheme="minorHAnsi"/>
          <w:sz w:val="22"/>
          <w:szCs w:val="22"/>
        </w:rPr>
        <w:t xml:space="preserve">, </w:t>
      </w:r>
      <w:r w:rsidRPr="669C45D2">
        <w:rPr>
          <w:rFonts w:asciiTheme="minorHAnsi" w:hAnsiTheme="minorHAnsi"/>
          <w:sz w:val="22"/>
          <w:szCs w:val="22"/>
        </w:rPr>
        <w:t>massing</w:t>
      </w:r>
      <w:r w:rsidR="0002665B" w:rsidRPr="669C45D2">
        <w:rPr>
          <w:rFonts w:asciiTheme="minorHAnsi" w:hAnsiTheme="minorHAnsi"/>
          <w:sz w:val="22"/>
          <w:szCs w:val="22"/>
        </w:rPr>
        <w:t>, and setback</w:t>
      </w:r>
      <w:r w:rsidRPr="669C45D2">
        <w:rPr>
          <w:rFonts w:asciiTheme="minorHAnsi" w:hAnsiTheme="minorHAnsi"/>
          <w:sz w:val="22"/>
          <w:szCs w:val="22"/>
        </w:rPr>
        <w:t xml:space="preserve"> are the most critical aspects of compatible design in a historic district, because compatibility cannot be achieved through materials and detailing alone. </w:t>
      </w:r>
      <w:r w:rsidRPr="00852A14">
        <w:rPr>
          <w:rFonts w:asciiTheme="minorHAnsi" w:hAnsiTheme="minorHAnsi"/>
          <w:b/>
          <w:bCs/>
          <w:sz w:val="22"/>
          <w:szCs w:val="22"/>
        </w:rPr>
        <w:t xml:space="preserve">The </w:t>
      </w:r>
      <w:r w:rsidR="00353200" w:rsidRPr="00852A14">
        <w:rPr>
          <w:rFonts w:asciiTheme="minorHAnsi" w:hAnsiTheme="minorHAnsi"/>
          <w:b/>
          <w:bCs/>
          <w:sz w:val="22"/>
          <w:szCs w:val="22"/>
        </w:rPr>
        <w:t>cohesion of an entire H</w:t>
      </w:r>
      <w:r w:rsidRPr="00852A14">
        <w:rPr>
          <w:rFonts w:asciiTheme="minorHAnsi" w:hAnsiTheme="minorHAnsi"/>
          <w:b/>
          <w:bCs/>
          <w:sz w:val="22"/>
          <w:szCs w:val="22"/>
        </w:rPr>
        <w:t xml:space="preserve">istoric </w:t>
      </w:r>
      <w:r w:rsidR="00353200" w:rsidRPr="00852A14">
        <w:rPr>
          <w:rFonts w:asciiTheme="minorHAnsi" w:hAnsiTheme="minorHAnsi"/>
          <w:b/>
          <w:bCs/>
          <w:sz w:val="22"/>
          <w:szCs w:val="22"/>
        </w:rPr>
        <w:t>D</w:t>
      </w:r>
      <w:r w:rsidRPr="00852A14">
        <w:rPr>
          <w:rFonts w:asciiTheme="minorHAnsi" w:hAnsiTheme="minorHAnsi"/>
          <w:b/>
          <w:bCs/>
          <w:sz w:val="22"/>
          <w:szCs w:val="22"/>
        </w:rPr>
        <w:t>istrict can be negatively affected by a single development that is significantly out of scale with the others, thus jeopardizing the historic status of all properties within the district.</w:t>
      </w:r>
      <w:r w:rsidR="0038431F" w:rsidRPr="669C45D2">
        <w:rPr>
          <w:rFonts w:asciiTheme="minorHAnsi" w:hAnsiTheme="minorHAnsi"/>
          <w:sz w:val="22"/>
          <w:szCs w:val="22"/>
        </w:rPr>
        <w:t xml:space="preserve"> </w:t>
      </w:r>
    </w:p>
    <w:p w14:paraId="25EC76C3" w14:textId="2B504BDB" w:rsidR="005D3F0E" w:rsidRPr="005D3F0E" w:rsidRDefault="00F340A3" w:rsidP="005D3F0E">
      <w:pPr>
        <w:pStyle w:val="ListParagraph"/>
        <w:numPr>
          <w:ilvl w:val="0"/>
          <w:numId w:val="13"/>
        </w:numPr>
        <w:spacing w:after="120" w:line="195" w:lineRule="atLeast"/>
        <w:contextualSpacing w:val="0"/>
        <w:rPr>
          <w:rFonts w:asciiTheme="minorHAnsi" w:hAnsiTheme="minorHAnsi"/>
          <w:sz w:val="22"/>
          <w:szCs w:val="22"/>
        </w:rPr>
      </w:pPr>
      <w:r>
        <w:rPr>
          <w:rFonts w:asciiTheme="minorHAnsi" w:hAnsiTheme="minorHAnsi"/>
          <w:sz w:val="22"/>
          <w:szCs w:val="22"/>
        </w:rPr>
        <w:lastRenderedPageBreak/>
        <w:t xml:space="preserve">The Proposed Draft Staff Report places an emphasis on encouraging more </w:t>
      </w:r>
      <w:r>
        <w:rPr>
          <w:rFonts w:asciiTheme="minorHAnsi" w:hAnsiTheme="minorHAnsi"/>
          <w:b/>
          <w:sz w:val="22"/>
          <w:szCs w:val="22"/>
        </w:rPr>
        <w:t>c</w:t>
      </w:r>
      <w:r w:rsidR="0038431F" w:rsidRPr="005D3F0E">
        <w:rPr>
          <w:rFonts w:asciiTheme="minorHAnsi" w:hAnsiTheme="minorHAnsi"/>
          <w:b/>
          <w:sz w:val="22"/>
          <w:szCs w:val="22"/>
        </w:rPr>
        <w:t>ottage cluster-type development</w:t>
      </w:r>
      <w:r w:rsidR="00455A7F">
        <w:rPr>
          <w:rFonts w:asciiTheme="minorHAnsi" w:hAnsiTheme="minorHAnsi"/>
          <w:sz w:val="22"/>
          <w:szCs w:val="22"/>
        </w:rPr>
        <w:t>, and proposed code revisions in the Planned Development chapter (33.854) support this.</w:t>
      </w:r>
      <w:r w:rsidR="0038431F" w:rsidRPr="005D3F0E">
        <w:rPr>
          <w:rFonts w:asciiTheme="minorHAnsi" w:hAnsiTheme="minorHAnsi"/>
          <w:sz w:val="22"/>
          <w:szCs w:val="22"/>
        </w:rPr>
        <w:t xml:space="preserve"> </w:t>
      </w:r>
      <w:r w:rsidR="00C24A1D">
        <w:rPr>
          <w:rFonts w:asciiTheme="minorHAnsi" w:hAnsiTheme="minorHAnsi"/>
          <w:sz w:val="22"/>
          <w:szCs w:val="22"/>
        </w:rPr>
        <w:t xml:space="preserve">It is puzzling why so much emphasis has been placed on this development type when </w:t>
      </w:r>
      <w:r w:rsidR="009C6997">
        <w:rPr>
          <w:rFonts w:asciiTheme="minorHAnsi" w:hAnsiTheme="minorHAnsi"/>
          <w:sz w:val="22"/>
          <w:szCs w:val="22"/>
        </w:rPr>
        <w:t xml:space="preserve">cottage cluster </w:t>
      </w:r>
      <w:r>
        <w:rPr>
          <w:rFonts w:asciiTheme="minorHAnsi" w:hAnsiTheme="minorHAnsi"/>
          <w:sz w:val="22"/>
          <w:szCs w:val="22"/>
        </w:rPr>
        <w:t xml:space="preserve">development </w:t>
      </w:r>
      <w:r w:rsidR="009C6997">
        <w:rPr>
          <w:rFonts w:asciiTheme="minorHAnsi" w:hAnsiTheme="minorHAnsi"/>
          <w:sz w:val="22"/>
          <w:szCs w:val="22"/>
        </w:rPr>
        <w:t xml:space="preserve">is not typically found in any older neighborhoods, and </w:t>
      </w:r>
      <w:r w:rsidR="001F59A9">
        <w:rPr>
          <w:rFonts w:asciiTheme="minorHAnsi" w:hAnsiTheme="minorHAnsi"/>
          <w:sz w:val="22"/>
          <w:szCs w:val="22"/>
        </w:rPr>
        <w:t xml:space="preserve">may not be compatible </w:t>
      </w:r>
      <w:r w:rsidR="0038431F" w:rsidRPr="005D3F0E">
        <w:rPr>
          <w:rFonts w:asciiTheme="minorHAnsi" w:hAnsiTheme="minorHAnsi"/>
          <w:sz w:val="22"/>
          <w:szCs w:val="22"/>
        </w:rPr>
        <w:t xml:space="preserve">with the character of Portland’s </w:t>
      </w:r>
      <w:r w:rsidR="00353200" w:rsidRPr="005D3F0E">
        <w:rPr>
          <w:rFonts w:asciiTheme="minorHAnsi" w:hAnsiTheme="minorHAnsi"/>
          <w:sz w:val="22"/>
          <w:szCs w:val="22"/>
        </w:rPr>
        <w:t>H</w:t>
      </w:r>
      <w:r w:rsidR="0038431F" w:rsidRPr="005D3F0E">
        <w:rPr>
          <w:rFonts w:asciiTheme="minorHAnsi" w:hAnsiTheme="minorHAnsi"/>
          <w:sz w:val="22"/>
          <w:szCs w:val="22"/>
        </w:rPr>
        <w:t>istoric</w:t>
      </w:r>
      <w:r w:rsidR="00C877CB">
        <w:rPr>
          <w:rFonts w:asciiTheme="minorHAnsi" w:hAnsiTheme="minorHAnsi"/>
          <w:sz w:val="22"/>
          <w:szCs w:val="22"/>
        </w:rPr>
        <w:t xml:space="preserve"> or Conservation</w:t>
      </w:r>
      <w:r w:rsidR="0038431F" w:rsidRPr="005D3F0E">
        <w:rPr>
          <w:rFonts w:asciiTheme="minorHAnsi" w:hAnsiTheme="minorHAnsi"/>
          <w:sz w:val="22"/>
          <w:szCs w:val="22"/>
        </w:rPr>
        <w:t xml:space="preserve"> </w:t>
      </w:r>
      <w:r w:rsidR="00353200" w:rsidRPr="005D3F0E">
        <w:rPr>
          <w:rFonts w:asciiTheme="minorHAnsi" w:hAnsiTheme="minorHAnsi"/>
          <w:sz w:val="22"/>
          <w:szCs w:val="22"/>
        </w:rPr>
        <w:t>D</w:t>
      </w:r>
      <w:r w:rsidR="0038431F" w:rsidRPr="005D3F0E">
        <w:rPr>
          <w:rFonts w:asciiTheme="minorHAnsi" w:hAnsiTheme="minorHAnsi"/>
          <w:sz w:val="22"/>
          <w:szCs w:val="22"/>
        </w:rPr>
        <w:t xml:space="preserve">istricts. </w:t>
      </w:r>
      <w:r w:rsidR="00126E2F" w:rsidRPr="005D3F0E">
        <w:rPr>
          <w:rFonts w:asciiTheme="minorHAnsi" w:hAnsiTheme="minorHAnsi"/>
          <w:sz w:val="22"/>
          <w:szCs w:val="22"/>
        </w:rPr>
        <w:t xml:space="preserve">Many </w:t>
      </w:r>
      <w:r>
        <w:rPr>
          <w:rFonts w:asciiTheme="minorHAnsi" w:hAnsiTheme="minorHAnsi"/>
          <w:sz w:val="22"/>
          <w:szCs w:val="22"/>
        </w:rPr>
        <w:t>of these</w:t>
      </w:r>
      <w:r w:rsidR="00126E2F" w:rsidRPr="005D3F0E">
        <w:rPr>
          <w:rFonts w:asciiTheme="minorHAnsi" w:hAnsiTheme="minorHAnsi"/>
          <w:sz w:val="22"/>
          <w:szCs w:val="22"/>
        </w:rPr>
        <w:t xml:space="preserve"> districts do, however, have low-scale, multi-</w:t>
      </w:r>
      <w:r w:rsidR="00DD5553">
        <w:rPr>
          <w:rFonts w:asciiTheme="minorHAnsi" w:hAnsiTheme="minorHAnsi"/>
          <w:sz w:val="22"/>
          <w:szCs w:val="22"/>
        </w:rPr>
        <w:t>family</w:t>
      </w:r>
      <w:r w:rsidR="00126E2F" w:rsidRPr="005D3F0E">
        <w:rPr>
          <w:rFonts w:asciiTheme="minorHAnsi" w:hAnsiTheme="minorHAnsi"/>
          <w:sz w:val="22"/>
          <w:szCs w:val="22"/>
        </w:rPr>
        <w:t xml:space="preserve"> housing that should be studied as an appropriate model for infil</w:t>
      </w:r>
      <w:r w:rsidR="00963F42" w:rsidRPr="005D3F0E">
        <w:rPr>
          <w:rFonts w:asciiTheme="minorHAnsi" w:hAnsiTheme="minorHAnsi"/>
          <w:sz w:val="22"/>
          <w:szCs w:val="22"/>
        </w:rPr>
        <w:t>l</w:t>
      </w:r>
      <w:r w:rsidR="00126E2F" w:rsidRPr="005D3F0E">
        <w:rPr>
          <w:rFonts w:asciiTheme="minorHAnsi" w:hAnsiTheme="minorHAnsi"/>
          <w:sz w:val="22"/>
          <w:szCs w:val="22"/>
        </w:rPr>
        <w:t xml:space="preserve"> in </w:t>
      </w:r>
      <w:r w:rsidR="00537E8B">
        <w:rPr>
          <w:rFonts w:asciiTheme="minorHAnsi" w:hAnsiTheme="minorHAnsi"/>
          <w:sz w:val="22"/>
          <w:szCs w:val="22"/>
        </w:rPr>
        <w:t xml:space="preserve">older </w:t>
      </w:r>
      <w:r w:rsidR="00126E2F" w:rsidRPr="005D3F0E">
        <w:rPr>
          <w:rFonts w:asciiTheme="minorHAnsi" w:hAnsiTheme="minorHAnsi"/>
          <w:sz w:val="22"/>
          <w:szCs w:val="22"/>
        </w:rPr>
        <w:t xml:space="preserve">single-dwelling residential neighborhoods. </w:t>
      </w:r>
      <w:r w:rsidR="00DD5553">
        <w:rPr>
          <w:rFonts w:asciiTheme="minorHAnsi" w:hAnsiTheme="minorHAnsi"/>
          <w:sz w:val="22"/>
          <w:szCs w:val="22"/>
        </w:rPr>
        <w:t>Some of these historic models</w:t>
      </w:r>
      <w:r w:rsidR="00537E8B">
        <w:rPr>
          <w:rFonts w:asciiTheme="minorHAnsi" w:hAnsiTheme="minorHAnsi"/>
          <w:sz w:val="22"/>
          <w:szCs w:val="22"/>
        </w:rPr>
        <w:t>, such as courtyard</w:t>
      </w:r>
      <w:r w:rsidR="00DD5553">
        <w:rPr>
          <w:rFonts w:asciiTheme="minorHAnsi" w:hAnsiTheme="minorHAnsi"/>
          <w:sz w:val="22"/>
          <w:szCs w:val="22"/>
        </w:rPr>
        <w:t xml:space="preserve"> apartments, </w:t>
      </w:r>
      <w:r w:rsidR="001F59A9">
        <w:rPr>
          <w:rFonts w:asciiTheme="minorHAnsi" w:hAnsiTheme="minorHAnsi"/>
          <w:sz w:val="22"/>
          <w:szCs w:val="22"/>
        </w:rPr>
        <w:t xml:space="preserve">offer </w:t>
      </w:r>
      <w:r w:rsidR="00DD5553">
        <w:rPr>
          <w:rFonts w:asciiTheme="minorHAnsi" w:hAnsiTheme="minorHAnsi"/>
          <w:sz w:val="22"/>
          <w:szCs w:val="22"/>
        </w:rPr>
        <w:t>more efficient</w:t>
      </w:r>
      <w:r w:rsidR="001F59A9">
        <w:rPr>
          <w:rFonts w:asciiTheme="minorHAnsi" w:hAnsiTheme="minorHAnsi"/>
          <w:sz w:val="22"/>
          <w:szCs w:val="22"/>
        </w:rPr>
        <w:t xml:space="preserve"> use of land and resources</w:t>
      </w:r>
      <w:r w:rsidR="00DD5553">
        <w:rPr>
          <w:rFonts w:asciiTheme="minorHAnsi" w:hAnsiTheme="minorHAnsi"/>
          <w:sz w:val="22"/>
          <w:szCs w:val="22"/>
        </w:rPr>
        <w:t xml:space="preserve"> than freestanding “cottages.” </w:t>
      </w:r>
      <w:r w:rsidR="00126E2F" w:rsidRPr="005D3F0E">
        <w:rPr>
          <w:rFonts w:asciiTheme="minorHAnsi" w:hAnsiTheme="minorHAnsi"/>
          <w:sz w:val="22"/>
          <w:szCs w:val="22"/>
        </w:rPr>
        <w:t>Additionally, though</w:t>
      </w:r>
      <w:r w:rsidR="00455A7F">
        <w:rPr>
          <w:rFonts w:asciiTheme="minorHAnsi" w:hAnsiTheme="minorHAnsi"/>
          <w:sz w:val="22"/>
          <w:szCs w:val="22"/>
        </w:rPr>
        <w:t xml:space="preserve"> the Proposed Draft would allow</w:t>
      </w:r>
      <w:r w:rsidR="0038431F" w:rsidRPr="005D3F0E">
        <w:rPr>
          <w:rFonts w:asciiTheme="minorHAnsi" w:hAnsiTheme="minorHAnsi"/>
          <w:sz w:val="22"/>
          <w:szCs w:val="22"/>
        </w:rPr>
        <w:t xml:space="preserve"> cottage clusters of up to 10 units </w:t>
      </w:r>
      <w:r w:rsidR="00455A7F">
        <w:rPr>
          <w:rFonts w:asciiTheme="minorHAnsi" w:hAnsiTheme="minorHAnsi"/>
          <w:sz w:val="22"/>
          <w:szCs w:val="22"/>
        </w:rPr>
        <w:t>to be reviewed</w:t>
      </w:r>
      <w:r w:rsidR="0038431F" w:rsidRPr="005D3F0E">
        <w:rPr>
          <w:rFonts w:asciiTheme="minorHAnsi" w:hAnsiTheme="minorHAnsi"/>
          <w:sz w:val="22"/>
          <w:szCs w:val="22"/>
        </w:rPr>
        <w:t xml:space="preserve"> through a staff-level, Type IIx </w:t>
      </w:r>
      <w:r>
        <w:rPr>
          <w:rFonts w:asciiTheme="minorHAnsi" w:hAnsiTheme="minorHAnsi"/>
          <w:sz w:val="22"/>
          <w:szCs w:val="22"/>
        </w:rPr>
        <w:t>P</w:t>
      </w:r>
      <w:r w:rsidR="0038431F" w:rsidRPr="005D3F0E">
        <w:rPr>
          <w:rFonts w:asciiTheme="minorHAnsi" w:hAnsiTheme="minorHAnsi"/>
          <w:sz w:val="22"/>
          <w:szCs w:val="22"/>
        </w:rPr>
        <w:t xml:space="preserve">lanned </w:t>
      </w:r>
      <w:r>
        <w:rPr>
          <w:rFonts w:asciiTheme="minorHAnsi" w:hAnsiTheme="minorHAnsi"/>
          <w:sz w:val="22"/>
          <w:szCs w:val="22"/>
        </w:rPr>
        <w:t>D</w:t>
      </w:r>
      <w:r w:rsidR="0038431F" w:rsidRPr="005D3F0E">
        <w:rPr>
          <w:rFonts w:asciiTheme="minorHAnsi" w:hAnsiTheme="minorHAnsi"/>
          <w:sz w:val="22"/>
          <w:szCs w:val="22"/>
        </w:rPr>
        <w:t xml:space="preserve">evelopment review, this should not supersede any </w:t>
      </w:r>
      <w:r>
        <w:rPr>
          <w:rFonts w:asciiTheme="minorHAnsi" w:hAnsiTheme="minorHAnsi"/>
          <w:sz w:val="22"/>
          <w:szCs w:val="22"/>
        </w:rPr>
        <w:t>H</w:t>
      </w:r>
      <w:r w:rsidR="0038431F" w:rsidRPr="005D3F0E">
        <w:rPr>
          <w:rFonts w:asciiTheme="minorHAnsi" w:hAnsiTheme="minorHAnsi"/>
          <w:sz w:val="22"/>
          <w:szCs w:val="22"/>
        </w:rPr>
        <w:t xml:space="preserve">istoric </w:t>
      </w:r>
      <w:r>
        <w:rPr>
          <w:rFonts w:asciiTheme="minorHAnsi" w:hAnsiTheme="minorHAnsi"/>
          <w:sz w:val="22"/>
          <w:szCs w:val="22"/>
        </w:rPr>
        <w:t>R</w:t>
      </w:r>
      <w:r w:rsidR="0038431F" w:rsidRPr="005D3F0E">
        <w:rPr>
          <w:rFonts w:asciiTheme="minorHAnsi" w:hAnsiTheme="minorHAnsi"/>
          <w:sz w:val="22"/>
          <w:szCs w:val="22"/>
        </w:rPr>
        <w:t xml:space="preserve">esource </w:t>
      </w:r>
      <w:r>
        <w:rPr>
          <w:rFonts w:asciiTheme="minorHAnsi" w:hAnsiTheme="minorHAnsi"/>
          <w:sz w:val="22"/>
          <w:szCs w:val="22"/>
        </w:rPr>
        <w:t>R</w:t>
      </w:r>
      <w:r w:rsidR="0038431F" w:rsidRPr="005D3F0E">
        <w:rPr>
          <w:rFonts w:asciiTheme="minorHAnsi" w:hAnsiTheme="minorHAnsi"/>
          <w:sz w:val="22"/>
          <w:szCs w:val="22"/>
        </w:rPr>
        <w:t>eview requirements that may also apply</w:t>
      </w:r>
      <w:r>
        <w:rPr>
          <w:rFonts w:asciiTheme="minorHAnsi" w:hAnsiTheme="minorHAnsi"/>
          <w:sz w:val="22"/>
          <w:szCs w:val="22"/>
        </w:rPr>
        <w:t>. I</w:t>
      </w:r>
      <w:r w:rsidR="00353200" w:rsidRPr="005D3F0E">
        <w:rPr>
          <w:rFonts w:asciiTheme="minorHAnsi" w:hAnsiTheme="minorHAnsi"/>
          <w:sz w:val="22"/>
          <w:szCs w:val="22"/>
        </w:rPr>
        <w:t xml:space="preserve">t should </w:t>
      </w:r>
      <w:r>
        <w:rPr>
          <w:rFonts w:asciiTheme="minorHAnsi" w:hAnsiTheme="minorHAnsi"/>
          <w:sz w:val="22"/>
          <w:szCs w:val="22"/>
        </w:rPr>
        <w:t xml:space="preserve">also </w:t>
      </w:r>
      <w:r w:rsidR="00353200" w:rsidRPr="005D3F0E">
        <w:rPr>
          <w:rFonts w:asciiTheme="minorHAnsi" w:hAnsiTheme="minorHAnsi"/>
          <w:sz w:val="22"/>
          <w:szCs w:val="22"/>
        </w:rPr>
        <w:t xml:space="preserve">be noted that </w:t>
      </w:r>
      <w:r w:rsidR="00DD5553">
        <w:rPr>
          <w:rFonts w:asciiTheme="minorHAnsi" w:hAnsiTheme="minorHAnsi"/>
          <w:sz w:val="22"/>
          <w:szCs w:val="22"/>
        </w:rPr>
        <w:t>the PHLC</w:t>
      </w:r>
      <w:r w:rsidR="00353200" w:rsidRPr="005D3F0E">
        <w:rPr>
          <w:rFonts w:asciiTheme="minorHAnsi" w:hAnsiTheme="minorHAnsi"/>
          <w:sz w:val="22"/>
          <w:szCs w:val="22"/>
        </w:rPr>
        <w:t xml:space="preserve"> may not support cottage cluster developments proposed in </w:t>
      </w:r>
      <w:r w:rsidR="00DD5553">
        <w:rPr>
          <w:rFonts w:asciiTheme="minorHAnsi" w:hAnsiTheme="minorHAnsi"/>
          <w:sz w:val="22"/>
          <w:szCs w:val="22"/>
        </w:rPr>
        <w:t xml:space="preserve">certain </w:t>
      </w:r>
      <w:r w:rsidR="00353200" w:rsidRPr="005D3F0E">
        <w:rPr>
          <w:rFonts w:asciiTheme="minorHAnsi" w:hAnsiTheme="minorHAnsi"/>
          <w:sz w:val="22"/>
          <w:szCs w:val="22"/>
        </w:rPr>
        <w:t>Historic</w:t>
      </w:r>
      <w:r>
        <w:rPr>
          <w:rFonts w:asciiTheme="minorHAnsi" w:hAnsiTheme="minorHAnsi"/>
          <w:sz w:val="22"/>
          <w:szCs w:val="22"/>
        </w:rPr>
        <w:t xml:space="preserve"> or Conservation</w:t>
      </w:r>
      <w:r w:rsidR="00353200" w:rsidRPr="005D3F0E">
        <w:rPr>
          <w:rFonts w:asciiTheme="minorHAnsi" w:hAnsiTheme="minorHAnsi"/>
          <w:sz w:val="22"/>
          <w:szCs w:val="22"/>
        </w:rPr>
        <w:t xml:space="preserve"> Districts</w:t>
      </w:r>
      <w:r w:rsidR="009A702D">
        <w:rPr>
          <w:rFonts w:asciiTheme="minorHAnsi" w:hAnsiTheme="minorHAnsi"/>
          <w:sz w:val="22"/>
          <w:szCs w:val="22"/>
        </w:rPr>
        <w:t xml:space="preserve"> because this model may</w:t>
      </w:r>
      <w:r w:rsidR="00537E8B">
        <w:rPr>
          <w:rFonts w:asciiTheme="minorHAnsi" w:hAnsiTheme="minorHAnsi"/>
          <w:sz w:val="22"/>
          <w:szCs w:val="22"/>
        </w:rPr>
        <w:t xml:space="preserve"> not </w:t>
      </w:r>
      <w:r w:rsidR="001F59A9">
        <w:rPr>
          <w:rFonts w:asciiTheme="minorHAnsi" w:hAnsiTheme="minorHAnsi"/>
          <w:sz w:val="22"/>
          <w:szCs w:val="22"/>
        </w:rPr>
        <w:t>be approvable under the applicable review criteria</w:t>
      </w:r>
      <w:r w:rsidR="00353200" w:rsidRPr="005D3F0E">
        <w:rPr>
          <w:rFonts w:asciiTheme="minorHAnsi" w:hAnsiTheme="minorHAnsi"/>
          <w:sz w:val="22"/>
          <w:szCs w:val="22"/>
        </w:rPr>
        <w:t>.</w:t>
      </w:r>
      <w:r w:rsidR="009C6997">
        <w:rPr>
          <w:rFonts w:asciiTheme="minorHAnsi" w:hAnsiTheme="minorHAnsi"/>
          <w:sz w:val="22"/>
          <w:szCs w:val="22"/>
        </w:rPr>
        <w:t xml:space="preserve"> However, the PHLC would suggest that this model might be highly compatible in areas such as outer East Portland that have very large lots and limited street frontages. </w:t>
      </w:r>
    </w:p>
    <w:p w14:paraId="7B94E6C9" w14:textId="427ADEA2" w:rsidR="00D006AE" w:rsidRPr="00B64EF1" w:rsidRDefault="00894633" w:rsidP="00B64EF1">
      <w:pPr>
        <w:pStyle w:val="ListParagraph"/>
        <w:numPr>
          <w:ilvl w:val="0"/>
          <w:numId w:val="13"/>
        </w:numPr>
        <w:spacing w:after="120" w:line="195" w:lineRule="atLeast"/>
        <w:contextualSpacing w:val="0"/>
        <w:rPr>
          <w:rFonts w:asciiTheme="minorHAnsi" w:hAnsiTheme="minorHAnsi"/>
          <w:sz w:val="22"/>
          <w:szCs w:val="22"/>
        </w:rPr>
      </w:pPr>
      <w:r w:rsidRPr="669C45D2">
        <w:rPr>
          <w:rFonts w:asciiTheme="minorHAnsi" w:hAnsiTheme="minorHAnsi"/>
          <w:sz w:val="22"/>
          <w:szCs w:val="22"/>
        </w:rPr>
        <w:t>While the allowance</w:t>
      </w:r>
      <w:r w:rsidR="005D28D8" w:rsidRPr="669C45D2">
        <w:rPr>
          <w:rFonts w:asciiTheme="minorHAnsi" w:hAnsiTheme="minorHAnsi"/>
          <w:sz w:val="22"/>
          <w:szCs w:val="22"/>
        </w:rPr>
        <w:t xml:space="preserve"> </w:t>
      </w:r>
      <w:r w:rsidRPr="669C45D2">
        <w:rPr>
          <w:rFonts w:asciiTheme="minorHAnsi" w:hAnsiTheme="minorHAnsi"/>
          <w:sz w:val="22"/>
          <w:szCs w:val="22"/>
        </w:rPr>
        <w:t>proposed in 33.405.0</w:t>
      </w:r>
      <w:r w:rsidR="00F340A3" w:rsidRPr="669C45D2">
        <w:rPr>
          <w:rFonts w:asciiTheme="minorHAnsi" w:hAnsiTheme="minorHAnsi"/>
          <w:sz w:val="22"/>
          <w:szCs w:val="22"/>
        </w:rPr>
        <w:t>6</w:t>
      </w:r>
      <w:r w:rsidRPr="669C45D2">
        <w:rPr>
          <w:rFonts w:asciiTheme="minorHAnsi" w:hAnsiTheme="minorHAnsi"/>
          <w:sz w:val="22"/>
          <w:szCs w:val="22"/>
        </w:rPr>
        <w:t xml:space="preserve">0.C to allow up to </w:t>
      </w:r>
      <w:r w:rsidRPr="00852A14">
        <w:rPr>
          <w:rFonts w:asciiTheme="minorHAnsi" w:hAnsiTheme="minorHAnsi"/>
          <w:b/>
          <w:bCs/>
          <w:sz w:val="22"/>
          <w:szCs w:val="22"/>
        </w:rPr>
        <w:t>two detached ADUs on historic properties</w:t>
      </w:r>
      <w:r w:rsidRPr="669C45D2">
        <w:rPr>
          <w:rFonts w:asciiTheme="minorHAnsi" w:hAnsiTheme="minorHAnsi"/>
          <w:sz w:val="22"/>
          <w:szCs w:val="22"/>
        </w:rPr>
        <w:t xml:space="preserve"> is admirable in its attempts to preserve existing historic housing, the same allowance could lead to consequences that are out of scale and character with other development in the neighborhood</w:t>
      </w:r>
      <w:r w:rsidR="00D006AE" w:rsidRPr="669C45D2">
        <w:rPr>
          <w:rFonts w:asciiTheme="minorHAnsi" w:hAnsiTheme="minorHAnsi"/>
          <w:sz w:val="22"/>
          <w:szCs w:val="22"/>
        </w:rPr>
        <w:t>, creating a jumble of smaller units and losing open space or tree cover</w:t>
      </w:r>
      <w:r w:rsidRPr="669C45D2">
        <w:rPr>
          <w:rFonts w:asciiTheme="minorHAnsi" w:hAnsiTheme="minorHAnsi"/>
          <w:sz w:val="22"/>
          <w:szCs w:val="22"/>
        </w:rPr>
        <w:t xml:space="preserve">. </w:t>
      </w:r>
      <w:r w:rsidR="00B32F57" w:rsidRPr="669C45D2">
        <w:rPr>
          <w:rFonts w:asciiTheme="minorHAnsi" w:hAnsiTheme="minorHAnsi"/>
          <w:sz w:val="22"/>
          <w:szCs w:val="22"/>
        </w:rPr>
        <w:t xml:space="preserve">In some scenarios, it may make more sense to allow these two detached ADUs to be able to be combined into one accessory structure. This needs to be weighed against the concern that </w:t>
      </w:r>
      <w:r w:rsidR="00B32F57" w:rsidRPr="00852A14">
        <w:rPr>
          <w:rFonts w:asciiTheme="minorHAnsi" w:hAnsiTheme="minorHAnsi"/>
          <w:b/>
          <w:bCs/>
          <w:sz w:val="22"/>
          <w:szCs w:val="22"/>
        </w:rPr>
        <w:t xml:space="preserve">the accessory structures should </w:t>
      </w:r>
      <w:r w:rsidR="009C6997" w:rsidRPr="00852A14">
        <w:rPr>
          <w:rFonts w:asciiTheme="minorHAnsi" w:hAnsiTheme="minorHAnsi"/>
          <w:b/>
          <w:bCs/>
          <w:sz w:val="22"/>
          <w:szCs w:val="22"/>
        </w:rPr>
        <w:t xml:space="preserve">generally not </w:t>
      </w:r>
      <w:r w:rsidR="00B32F57" w:rsidRPr="00852A14">
        <w:rPr>
          <w:rFonts w:asciiTheme="minorHAnsi" w:hAnsiTheme="minorHAnsi"/>
          <w:b/>
          <w:bCs/>
          <w:sz w:val="22"/>
          <w:szCs w:val="22"/>
        </w:rPr>
        <w:t>be larger in scale or height than the primary structure</w:t>
      </w:r>
      <w:r w:rsidR="00B32F57" w:rsidRPr="669C45D2">
        <w:rPr>
          <w:rFonts w:asciiTheme="minorHAnsi" w:hAnsiTheme="minorHAnsi"/>
          <w:sz w:val="22"/>
          <w:szCs w:val="22"/>
        </w:rPr>
        <w:t xml:space="preserve">. </w:t>
      </w:r>
    </w:p>
    <w:p w14:paraId="1A66A5F5" w14:textId="32D7D334" w:rsidR="00444719" w:rsidRPr="00B64EF1" w:rsidRDefault="00421AE9" w:rsidP="00B64EF1">
      <w:pPr>
        <w:pStyle w:val="ListParagraph"/>
        <w:numPr>
          <w:ilvl w:val="0"/>
          <w:numId w:val="13"/>
        </w:numPr>
        <w:spacing w:after="120" w:line="195" w:lineRule="atLeast"/>
        <w:contextualSpacing w:val="0"/>
        <w:rPr>
          <w:rFonts w:asciiTheme="minorHAnsi" w:hAnsiTheme="minorHAnsi"/>
          <w:sz w:val="22"/>
          <w:szCs w:val="22"/>
        </w:rPr>
      </w:pPr>
      <w:r w:rsidRPr="669C45D2">
        <w:rPr>
          <w:rFonts w:asciiTheme="minorHAnsi" w:hAnsiTheme="minorHAnsi"/>
          <w:sz w:val="22"/>
          <w:szCs w:val="22"/>
        </w:rPr>
        <w:t xml:space="preserve">With the addition of Floor Area Ratio (FAR) standards to single-dwelling residential zones, the Proposed Draft indirectly encourages the development of </w:t>
      </w:r>
      <w:r w:rsidRPr="00852A14">
        <w:rPr>
          <w:rFonts w:asciiTheme="minorHAnsi" w:hAnsiTheme="minorHAnsi"/>
          <w:b/>
          <w:bCs/>
          <w:sz w:val="22"/>
          <w:szCs w:val="22"/>
        </w:rPr>
        <w:t>tuck-under garages</w:t>
      </w:r>
      <w:r w:rsidRPr="669C45D2">
        <w:rPr>
          <w:rFonts w:asciiTheme="minorHAnsi" w:hAnsiTheme="minorHAnsi"/>
          <w:sz w:val="22"/>
          <w:szCs w:val="22"/>
        </w:rPr>
        <w:t>, which would not be included in the FAR calculation if located sufficiently below grade. However, tuck-und</w:t>
      </w:r>
      <w:r w:rsidR="003E2E30">
        <w:rPr>
          <w:rFonts w:asciiTheme="minorHAnsi" w:hAnsiTheme="minorHAnsi"/>
          <w:sz w:val="22"/>
          <w:szCs w:val="22"/>
        </w:rPr>
        <w:t>er garages of this depth have a</w:t>
      </w:r>
      <w:bookmarkStart w:id="0" w:name="_GoBack"/>
      <w:bookmarkEnd w:id="0"/>
      <w:r w:rsidRPr="669C45D2">
        <w:rPr>
          <w:rFonts w:asciiTheme="minorHAnsi" w:hAnsiTheme="minorHAnsi"/>
          <w:sz w:val="22"/>
          <w:szCs w:val="22"/>
        </w:rPr>
        <w:t xml:space="preserve"> negative impact on</w:t>
      </w:r>
      <w:r w:rsidR="00513104" w:rsidRPr="669C45D2">
        <w:rPr>
          <w:rFonts w:asciiTheme="minorHAnsi" w:hAnsiTheme="minorHAnsi"/>
          <w:sz w:val="22"/>
          <w:szCs w:val="22"/>
        </w:rPr>
        <w:t xml:space="preserve"> neighborhood </w:t>
      </w:r>
      <w:r w:rsidRPr="669C45D2">
        <w:rPr>
          <w:rFonts w:asciiTheme="minorHAnsi" w:hAnsiTheme="minorHAnsi"/>
          <w:sz w:val="22"/>
          <w:szCs w:val="22"/>
        </w:rPr>
        <w:t>streetscape</w:t>
      </w:r>
      <w:r w:rsidR="00513104" w:rsidRPr="669C45D2">
        <w:rPr>
          <w:rFonts w:asciiTheme="minorHAnsi" w:hAnsiTheme="minorHAnsi"/>
          <w:sz w:val="22"/>
          <w:szCs w:val="22"/>
        </w:rPr>
        <w:t>s</w:t>
      </w:r>
      <w:r w:rsidRPr="669C45D2">
        <w:rPr>
          <w:rFonts w:asciiTheme="minorHAnsi" w:hAnsiTheme="minorHAnsi"/>
          <w:sz w:val="22"/>
          <w:szCs w:val="22"/>
        </w:rPr>
        <w:t xml:space="preserve"> </w:t>
      </w:r>
      <w:r w:rsidR="00513104" w:rsidRPr="669C45D2">
        <w:rPr>
          <w:rFonts w:asciiTheme="minorHAnsi" w:hAnsiTheme="minorHAnsi"/>
          <w:sz w:val="22"/>
          <w:szCs w:val="22"/>
        </w:rPr>
        <w:t>and in</w:t>
      </w:r>
      <w:r w:rsidRPr="669C45D2">
        <w:rPr>
          <w:rFonts w:asciiTheme="minorHAnsi" w:hAnsiTheme="minorHAnsi"/>
          <w:sz w:val="22"/>
          <w:szCs w:val="22"/>
        </w:rPr>
        <w:t xml:space="preserve"> historic districts in two ways:</w:t>
      </w:r>
      <w:r w:rsidR="0053530B" w:rsidRPr="669C45D2">
        <w:rPr>
          <w:rFonts w:asciiTheme="minorHAnsi" w:hAnsiTheme="minorHAnsi"/>
          <w:sz w:val="22"/>
          <w:szCs w:val="22"/>
        </w:rPr>
        <w:t xml:space="preserve"> t</w:t>
      </w:r>
      <w:r w:rsidRPr="669C45D2">
        <w:rPr>
          <w:rFonts w:asciiTheme="minorHAnsi" w:hAnsiTheme="minorHAnsi"/>
          <w:sz w:val="22"/>
          <w:szCs w:val="22"/>
        </w:rPr>
        <w:t xml:space="preserve">hey create a </w:t>
      </w:r>
      <w:r w:rsidRPr="00852A14">
        <w:rPr>
          <w:rFonts w:asciiTheme="minorHAnsi" w:hAnsiTheme="minorHAnsi"/>
          <w:b/>
          <w:bCs/>
          <w:sz w:val="22"/>
          <w:szCs w:val="22"/>
        </w:rPr>
        <w:t>visual interruption of the street pattern</w:t>
      </w:r>
      <w:r w:rsidRPr="669C45D2">
        <w:rPr>
          <w:rFonts w:asciiTheme="minorHAnsi" w:hAnsiTheme="minorHAnsi"/>
          <w:sz w:val="22"/>
          <w:szCs w:val="22"/>
        </w:rPr>
        <w:t xml:space="preserve">. The garage ramp forms a void cutting through the street setback area of a residence, interrupting what is generally a common block topography. </w:t>
      </w:r>
      <w:r w:rsidR="0053530B" w:rsidRPr="669C45D2">
        <w:rPr>
          <w:rFonts w:asciiTheme="minorHAnsi" w:hAnsiTheme="minorHAnsi"/>
          <w:sz w:val="22"/>
          <w:szCs w:val="22"/>
        </w:rPr>
        <w:t xml:space="preserve">Tuck-under garages can also result in porches that are too high above and/or disconnected from the ground plane, which can have negative impacts on the pedestrian realm and the character </w:t>
      </w:r>
      <w:r w:rsidR="001E68D0" w:rsidRPr="669C45D2">
        <w:rPr>
          <w:rFonts w:asciiTheme="minorHAnsi" w:hAnsiTheme="minorHAnsi"/>
          <w:sz w:val="22"/>
          <w:szCs w:val="22"/>
        </w:rPr>
        <w:t>of</w:t>
      </w:r>
      <w:r w:rsidR="0053530B" w:rsidRPr="669C45D2">
        <w:rPr>
          <w:rFonts w:asciiTheme="minorHAnsi" w:hAnsiTheme="minorHAnsi"/>
          <w:sz w:val="22"/>
          <w:szCs w:val="22"/>
        </w:rPr>
        <w:t xml:space="preserve"> many historic districts and older neighborhoods. </w:t>
      </w:r>
      <w:r w:rsidRPr="669C45D2">
        <w:rPr>
          <w:rFonts w:asciiTheme="minorHAnsi" w:hAnsiTheme="minorHAnsi"/>
          <w:sz w:val="22"/>
          <w:szCs w:val="22"/>
        </w:rPr>
        <w:t>Detached garages set behind the primary house are almost always more appropriate and should be promoted rather than penalized.</w:t>
      </w:r>
    </w:p>
    <w:p w14:paraId="6EF96212" w14:textId="15822C29" w:rsidR="00444719" w:rsidRPr="00B64EF1" w:rsidRDefault="00444719" w:rsidP="00B64EF1">
      <w:pPr>
        <w:pStyle w:val="ListParagraph"/>
        <w:numPr>
          <w:ilvl w:val="0"/>
          <w:numId w:val="13"/>
        </w:numPr>
        <w:spacing w:after="120" w:line="195" w:lineRule="atLeast"/>
        <w:contextualSpacing w:val="0"/>
        <w:rPr>
          <w:rFonts w:asciiTheme="minorHAnsi" w:hAnsiTheme="minorHAnsi"/>
          <w:sz w:val="22"/>
          <w:szCs w:val="22"/>
        </w:rPr>
      </w:pPr>
      <w:r w:rsidRPr="669C45D2">
        <w:rPr>
          <w:rFonts w:asciiTheme="minorHAnsi" w:hAnsiTheme="minorHAnsi"/>
          <w:sz w:val="22"/>
          <w:szCs w:val="22"/>
        </w:rPr>
        <w:t xml:space="preserve">Finally, the PHLC is concerned that the addition of FAR standards to single-dwelling zones and setting the maximum height at 30-feet could inadvertently promote the development of new houses with </w:t>
      </w:r>
      <w:r w:rsidRPr="00852A14">
        <w:rPr>
          <w:rFonts w:asciiTheme="minorHAnsi" w:hAnsiTheme="minorHAnsi"/>
          <w:b/>
          <w:bCs/>
          <w:sz w:val="22"/>
          <w:szCs w:val="22"/>
        </w:rPr>
        <w:t>flat roofs</w:t>
      </w:r>
      <w:r w:rsidRPr="669C45D2">
        <w:rPr>
          <w:rFonts w:asciiTheme="minorHAnsi" w:hAnsiTheme="minorHAnsi"/>
          <w:sz w:val="22"/>
          <w:szCs w:val="22"/>
        </w:rPr>
        <w:t xml:space="preserve">, rather than the pitched roof styles that are a defining characteristic of most houses in Portland’s Historic and Conservation Districts as well as other older neighborhoods outside of these districts. </w:t>
      </w:r>
      <w:r w:rsidR="669C45D2" w:rsidRPr="669C45D2">
        <w:rPr>
          <w:rFonts w:asciiTheme="minorHAnsi" w:hAnsiTheme="minorHAnsi"/>
          <w:sz w:val="22"/>
          <w:szCs w:val="22"/>
        </w:rPr>
        <w:t>By promoting a form that is unlike that of most typical older neighborhoods, this provision w</w:t>
      </w:r>
      <w:r w:rsidR="71EFFE21" w:rsidRPr="00B64EF1">
        <w:rPr>
          <w:rFonts w:asciiTheme="minorHAnsi" w:hAnsiTheme="minorHAnsi"/>
          <w:sz w:val="22"/>
          <w:szCs w:val="22"/>
        </w:rPr>
        <w:t>ill lead to less compatibility in older neighborhoods.</w:t>
      </w:r>
    </w:p>
    <w:p w14:paraId="5E06CFA8" w14:textId="77777777" w:rsidR="007954BA" w:rsidRPr="00B64EF1" w:rsidRDefault="00513104" w:rsidP="00B64EF1">
      <w:pPr>
        <w:shd w:val="clear" w:color="auto" w:fill="FFFFFF" w:themeFill="background1"/>
        <w:spacing w:line="180" w:lineRule="atLeast"/>
        <w:rPr>
          <w:rFonts w:asciiTheme="minorHAnsi" w:hAnsiTheme="minorHAnsi" w:cs="Segoe UI"/>
          <w:color w:val="000000" w:themeColor="text1"/>
          <w:sz w:val="22"/>
          <w:szCs w:val="22"/>
        </w:rPr>
      </w:pPr>
      <w:r w:rsidRPr="746A5725">
        <w:rPr>
          <w:rFonts w:asciiTheme="minorHAnsi" w:hAnsiTheme="minorHAnsi" w:cs="Segoe UI"/>
          <w:color w:val="000000"/>
          <w:sz w:val="22"/>
          <w:szCs w:val="22"/>
        </w:rPr>
        <w:t>As advocates for the City’s historic built environment and its attendant social history, the PHLC is alarmed at the potential architectural and social impacts upon the City’s most sensitive historical ethnic populations potentially triggered by the “a” overlay.  The RIP has highlighted the possibility that the City is not complying with Oregon’s Goal 5 planning rules.  While its zoning protections, as they are currently constituted, provide a robust regime of protection, the failure of the city to update the HRI has resulted in the failure to protect potential historical resources</w:t>
      </w:r>
      <w:r w:rsidR="007954BA" w:rsidRPr="746A5725">
        <w:rPr>
          <w:rFonts w:asciiTheme="minorHAnsi" w:hAnsiTheme="minorHAnsi" w:cs="Segoe UI"/>
          <w:color w:val="000000"/>
          <w:sz w:val="22"/>
          <w:szCs w:val="22"/>
        </w:rPr>
        <w:t xml:space="preserve">. </w:t>
      </w:r>
      <w:r w:rsidRPr="746A5725">
        <w:rPr>
          <w:rFonts w:asciiTheme="minorHAnsi" w:hAnsiTheme="minorHAnsi" w:cs="Segoe UI"/>
          <w:color w:val="000000"/>
          <w:sz w:val="22"/>
          <w:szCs w:val="22"/>
        </w:rPr>
        <w:t xml:space="preserve">The HRI was never meant to be a static list, but </w:t>
      </w:r>
      <w:r w:rsidRPr="746A5725">
        <w:rPr>
          <w:rFonts w:asciiTheme="minorHAnsi" w:hAnsiTheme="minorHAnsi" w:cs="Segoe UI"/>
          <w:color w:val="000000"/>
          <w:sz w:val="22"/>
          <w:szCs w:val="22"/>
        </w:rPr>
        <w:lastRenderedPageBreak/>
        <w:t>one that is routinely updated. While other environmental resources have been inventoried and taken into account</w:t>
      </w:r>
      <w:r w:rsidR="007954BA" w:rsidRPr="746A5725">
        <w:rPr>
          <w:rFonts w:asciiTheme="minorHAnsi" w:hAnsiTheme="minorHAnsi" w:cs="Segoe UI"/>
          <w:color w:val="000000"/>
          <w:sz w:val="22"/>
          <w:szCs w:val="22"/>
        </w:rPr>
        <w:t xml:space="preserve"> in the City’s planning efforts</w:t>
      </w:r>
      <w:r w:rsidRPr="746A5725">
        <w:rPr>
          <w:rFonts w:asciiTheme="minorHAnsi" w:hAnsiTheme="minorHAnsi" w:cs="Segoe UI"/>
          <w:color w:val="000000"/>
          <w:sz w:val="22"/>
          <w:szCs w:val="22"/>
        </w:rPr>
        <w:t>, historical resources have</w:t>
      </w:r>
      <w:r w:rsidR="007954BA" w:rsidRPr="746A5725">
        <w:rPr>
          <w:rFonts w:asciiTheme="minorHAnsi" w:hAnsiTheme="minorHAnsi" w:cs="Segoe UI"/>
          <w:color w:val="000000"/>
          <w:sz w:val="22"/>
          <w:szCs w:val="22"/>
        </w:rPr>
        <w:t xml:space="preserve"> not.  Due to this oversight, we fear the City is not meeting its Goal 5 obligations. </w:t>
      </w:r>
    </w:p>
    <w:p w14:paraId="6783F7E4" w14:textId="77777777" w:rsidR="007954BA" w:rsidRPr="00B64EF1" w:rsidRDefault="007954BA" w:rsidP="00B64EF1">
      <w:pPr>
        <w:shd w:val="clear" w:color="auto" w:fill="FFFFFF" w:themeFill="background1"/>
        <w:spacing w:line="180" w:lineRule="atLeast"/>
        <w:rPr>
          <w:rFonts w:asciiTheme="minorHAnsi" w:hAnsiTheme="minorHAnsi" w:cs="Segoe UI"/>
          <w:color w:val="000000" w:themeColor="text1"/>
          <w:sz w:val="22"/>
          <w:szCs w:val="22"/>
        </w:rPr>
      </w:pPr>
    </w:p>
    <w:p w14:paraId="5A4B7F1C" w14:textId="1B8AF3F6" w:rsidR="007954BA" w:rsidRPr="00B64EF1" w:rsidRDefault="007954BA" w:rsidP="00B64EF1">
      <w:pPr>
        <w:shd w:val="clear" w:color="auto" w:fill="FFFFFF" w:themeFill="background1"/>
        <w:spacing w:line="180" w:lineRule="atLeast"/>
        <w:rPr>
          <w:rFonts w:asciiTheme="minorHAnsi" w:hAnsiTheme="minorHAnsi" w:cs="Segoe UI"/>
          <w:color w:val="000000" w:themeColor="text1"/>
          <w:sz w:val="22"/>
          <w:szCs w:val="22"/>
        </w:rPr>
      </w:pPr>
      <w:r w:rsidRPr="746A5725">
        <w:rPr>
          <w:rFonts w:asciiTheme="minorHAnsi" w:hAnsiTheme="minorHAnsi" w:cs="Segoe UI"/>
          <w:color w:val="000000"/>
          <w:sz w:val="22"/>
          <w:szCs w:val="22"/>
        </w:rPr>
        <w:t>While housing opportunity, availability, and affordability are laudable goals, we fear the RIP will likely exacerbate the housing crisis due to the loss of smaller housing options, demolition of existing housing, their replacement with much more expensive new construction, and the displacement of the City’s ethnic communities.  We offer the expertise of the PHLC to improve the RIP to avoid these impacts.</w:t>
      </w:r>
    </w:p>
    <w:p w14:paraId="202095FB" w14:textId="77777777" w:rsidR="00434FE1" w:rsidRPr="00B64EF1" w:rsidRDefault="00434FE1" w:rsidP="00B64EF1">
      <w:pPr>
        <w:shd w:val="clear" w:color="auto" w:fill="FFFFFF" w:themeFill="background1"/>
        <w:spacing w:line="180" w:lineRule="atLeast"/>
        <w:rPr>
          <w:rFonts w:asciiTheme="minorHAnsi" w:hAnsiTheme="minorHAnsi" w:cs="Segoe UI"/>
          <w:color w:val="000000" w:themeColor="text1"/>
          <w:sz w:val="22"/>
          <w:szCs w:val="22"/>
        </w:rPr>
      </w:pPr>
      <w:r w:rsidRPr="746A5725">
        <w:rPr>
          <w:rFonts w:asciiTheme="minorHAnsi" w:hAnsiTheme="minorHAnsi" w:cs="Segoe UI"/>
          <w:color w:val="000000"/>
          <w:sz w:val="22"/>
          <w:szCs w:val="22"/>
        </w:rPr>
        <w:t xml:space="preserve">We thank you for your time and consideration of these requests, and we look forward to continued discussion with </w:t>
      </w:r>
      <w:r w:rsidR="001722A6" w:rsidRPr="746A5725">
        <w:rPr>
          <w:rFonts w:asciiTheme="minorHAnsi" w:hAnsiTheme="minorHAnsi" w:cs="Segoe UI"/>
          <w:color w:val="000000"/>
          <w:sz w:val="22"/>
          <w:szCs w:val="22"/>
        </w:rPr>
        <w:t xml:space="preserve">the Planning &amp; Sustainability Commission and </w:t>
      </w:r>
      <w:r w:rsidRPr="746A5725">
        <w:rPr>
          <w:rFonts w:asciiTheme="minorHAnsi" w:hAnsiTheme="minorHAnsi" w:cs="Segoe UI"/>
          <w:color w:val="000000"/>
          <w:sz w:val="22"/>
          <w:szCs w:val="22"/>
        </w:rPr>
        <w:t>BPS staff regarding these proposed policy and regulatory changes.</w:t>
      </w:r>
    </w:p>
    <w:p w14:paraId="1D266EAA" w14:textId="77777777" w:rsidR="00434FE1" w:rsidRPr="007725F1" w:rsidRDefault="00434FE1" w:rsidP="00434FE1">
      <w:pPr>
        <w:rPr>
          <w:rFonts w:asciiTheme="minorHAnsi" w:hAnsiTheme="minorHAnsi"/>
          <w:sz w:val="22"/>
          <w:szCs w:val="22"/>
        </w:rPr>
      </w:pPr>
    </w:p>
    <w:p w14:paraId="6670373D" w14:textId="77777777" w:rsidR="00434FE1" w:rsidRPr="007725F1" w:rsidRDefault="00434FE1" w:rsidP="00434FE1">
      <w:pPr>
        <w:rPr>
          <w:rFonts w:asciiTheme="minorHAnsi" w:hAnsiTheme="minorHAnsi"/>
          <w:sz w:val="22"/>
          <w:szCs w:val="22"/>
        </w:rPr>
      </w:pPr>
      <w:r w:rsidRPr="007725F1">
        <w:rPr>
          <w:rFonts w:asciiTheme="minorHAnsi" w:hAnsiTheme="minorHAnsi"/>
          <w:sz w:val="22"/>
          <w:szCs w:val="22"/>
        </w:rPr>
        <w:t>Sincerely,</w:t>
      </w:r>
    </w:p>
    <w:p w14:paraId="7A0403EF" w14:textId="77777777" w:rsidR="00434FE1" w:rsidRPr="00183081" w:rsidRDefault="00434FE1" w:rsidP="00434FE1">
      <w:pPr>
        <w:rPr>
          <w:rFonts w:ascii="Tw Cen MT" w:hAnsi="Tw Cen MT"/>
          <w:sz w:val="22"/>
          <w:szCs w:val="22"/>
        </w:rPr>
      </w:pPr>
      <w:r w:rsidRPr="00183081">
        <w:rPr>
          <w:rFonts w:ascii="Tw Cen MT" w:hAnsi="Tw Cen MT"/>
          <w:noProof/>
          <w:sz w:val="22"/>
          <w:szCs w:val="22"/>
        </w:rPr>
        <w:drawing>
          <wp:inline distT="0" distB="0" distL="0" distR="0" wp14:anchorId="19BDA6FD" wp14:editId="1BBC0816">
            <wp:extent cx="1533525" cy="371475"/>
            <wp:effectExtent l="0" t="0" r="9525" b="9525"/>
            <wp:docPr id="6" name="Picture 1" descr="cid:image001.png@01D16324.AA815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6324.AA8154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33525" cy="371475"/>
                    </a:xfrm>
                    <a:prstGeom prst="rect">
                      <a:avLst/>
                    </a:prstGeom>
                    <a:noFill/>
                    <a:ln>
                      <a:noFill/>
                    </a:ln>
                  </pic:spPr>
                </pic:pic>
              </a:graphicData>
            </a:graphic>
          </wp:inline>
        </w:drawing>
      </w:r>
      <w:r>
        <w:rPr>
          <w:rFonts w:ascii="Tw Cen MT" w:hAnsi="Tw Cen MT"/>
          <w:sz w:val="22"/>
          <w:szCs w:val="22"/>
        </w:rPr>
        <w:tab/>
      </w:r>
      <w:r>
        <w:rPr>
          <w:rFonts w:ascii="Tw Cen MT" w:hAnsi="Tw Cen MT"/>
          <w:sz w:val="22"/>
          <w:szCs w:val="22"/>
        </w:rPr>
        <w:tab/>
      </w:r>
      <w:r>
        <w:rPr>
          <w:rFonts w:ascii="Tw Cen MT" w:hAnsi="Tw Cen MT"/>
          <w:sz w:val="22"/>
          <w:szCs w:val="22"/>
        </w:rPr>
        <w:tab/>
      </w:r>
      <w:r>
        <w:rPr>
          <w:rFonts w:ascii="Tw Cen MT" w:hAnsi="Tw Cen MT"/>
          <w:sz w:val="22"/>
          <w:szCs w:val="22"/>
        </w:rPr>
        <w:tab/>
      </w:r>
      <w:r>
        <w:rPr>
          <w:rFonts w:ascii="Tw Cen MT" w:hAnsi="Tw Cen MT"/>
          <w:sz w:val="22"/>
          <w:szCs w:val="22"/>
        </w:rPr>
        <w:tab/>
      </w:r>
      <w:r>
        <w:rPr>
          <w:rFonts w:ascii="Tw Cen MT" w:hAnsi="Tw Cen MT"/>
          <w:noProof/>
          <w:sz w:val="22"/>
          <w:szCs w:val="22"/>
        </w:rPr>
        <w:drawing>
          <wp:inline distT="0" distB="0" distL="0" distR="0" wp14:anchorId="178EF51C" wp14:editId="625DE0BA">
            <wp:extent cx="1425483" cy="43815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rotWithShape="1">
                    <a:blip r:embed="rId10" cstate="print">
                      <a:extLst>
                        <a:ext uri="{28A0092B-C50C-407E-A947-70E740481C1C}">
                          <a14:useLocalDpi xmlns:a14="http://schemas.microsoft.com/office/drawing/2010/main" val="0"/>
                        </a:ext>
                      </a:extLst>
                    </a:blip>
                    <a:srcRect b="14815"/>
                    <a:stretch/>
                  </pic:blipFill>
                  <pic:spPr bwMode="auto">
                    <a:xfrm>
                      <a:off x="0" y="0"/>
                      <a:ext cx="1440180" cy="442667"/>
                    </a:xfrm>
                    <a:prstGeom prst="rect">
                      <a:avLst/>
                    </a:prstGeom>
                    <a:ln>
                      <a:noFill/>
                    </a:ln>
                    <a:extLst>
                      <a:ext uri="{53640926-AAD7-44D8-BBD7-CCE9431645EC}">
                        <a14:shadowObscured xmlns:a14="http://schemas.microsoft.com/office/drawing/2010/main"/>
                      </a:ext>
                    </a:extLst>
                  </pic:spPr>
                </pic:pic>
              </a:graphicData>
            </a:graphic>
          </wp:inline>
        </w:drawing>
      </w:r>
    </w:p>
    <w:p w14:paraId="0717F3CB" w14:textId="77777777" w:rsidR="00434FE1" w:rsidRPr="00183081" w:rsidRDefault="00434FE1" w:rsidP="00434FE1">
      <w:pPr>
        <w:ind w:left="5040" w:firstLine="720"/>
        <w:rPr>
          <w:rFonts w:ascii="Tw Cen MT" w:hAnsi="Tw Cen MT"/>
          <w:sz w:val="22"/>
          <w:szCs w:val="22"/>
        </w:rPr>
      </w:pPr>
    </w:p>
    <w:p w14:paraId="3CF071E9" w14:textId="77777777" w:rsidR="00434FE1" w:rsidRPr="007725F1" w:rsidRDefault="00434FE1" w:rsidP="00434FE1">
      <w:pPr>
        <w:rPr>
          <w:rFonts w:asciiTheme="minorHAnsi" w:hAnsiTheme="minorHAnsi"/>
          <w:sz w:val="22"/>
          <w:szCs w:val="22"/>
        </w:rPr>
      </w:pPr>
      <w:r w:rsidRPr="007725F1">
        <w:rPr>
          <w:rFonts w:asciiTheme="minorHAnsi" w:hAnsiTheme="minorHAnsi"/>
          <w:sz w:val="22"/>
          <w:szCs w:val="22"/>
        </w:rPr>
        <w:t>Kirk Ranzetta</w:t>
      </w:r>
      <w:r w:rsidRPr="007725F1">
        <w:rPr>
          <w:rFonts w:asciiTheme="minorHAnsi" w:hAnsiTheme="minorHAnsi"/>
          <w:sz w:val="22"/>
          <w:szCs w:val="22"/>
        </w:rPr>
        <w:tab/>
      </w:r>
      <w:r w:rsidRPr="007725F1">
        <w:rPr>
          <w:rFonts w:asciiTheme="minorHAnsi" w:hAnsiTheme="minorHAnsi"/>
          <w:sz w:val="22"/>
          <w:szCs w:val="22"/>
        </w:rPr>
        <w:tab/>
      </w:r>
      <w:r w:rsidRPr="007725F1">
        <w:rPr>
          <w:rFonts w:asciiTheme="minorHAnsi" w:hAnsiTheme="minorHAnsi"/>
          <w:sz w:val="22"/>
          <w:szCs w:val="22"/>
        </w:rPr>
        <w:tab/>
      </w:r>
      <w:r w:rsidRPr="007725F1">
        <w:rPr>
          <w:rFonts w:asciiTheme="minorHAnsi" w:hAnsiTheme="minorHAnsi"/>
          <w:sz w:val="22"/>
          <w:szCs w:val="22"/>
        </w:rPr>
        <w:tab/>
      </w:r>
      <w:r w:rsidRPr="007725F1">
        <w:rPr>
          <w:rFonts w:asciiTheme="minorHAnsi" w:hAnsiTheme="minorHAnsi"/>
          <w:sz w:val="22"/>
          <w:szCs w:val="22"/>
        </w:rPr>
        <w:tab/>
      </w:r>
      <w:r w:rsidRPr="007725F1">
        <w:rPr>
          <w:rFonts w:asciiTheme="minorHAnsi" w:hAnsiTheme="minorHAnsi"/>
          <w:sz w:val="22"/>
          <w:szCs w:val="22"/>
        </w:rPr>
        <w:tab/>
      </w:r>
      <w:r w:rsidRPr="007725F1">
        <w:rPr>
          <w:rFonts w:asciiTheme="minorHAnsi" w:hAnsiTheme="minorHAnsi"/>
          <w:sz w:val="22"/>
          <w:szCs w:val="22"/>
        </w:rPr>
        <w:tab/>
        <w:t>Kristen Minor</w:t>
      </w:r>
    </w:p>
    <w:p w14:paraId="6F4ED634" w14:textId="77777777" w:rsidR="00434FE1" w:rsidRPr="007725F1" w:rsidRDefault="00434FE1" w:rsidP="00434FE1">
      <w:pPr>
        <w:rPr>
          <w:rFonts w:asciiTheme="minorHAnsi" w:hAnsiTheme="minorHAnsi"/>
          <w:sz w:val="12"/>
          <w:szCs w:val="12"/>
        </w:rPr>
      </w:pPr>
    </w:p>
    <w:p w14:paraId="3E7C6B92" w14:textId="77777777" w:rsidR="00434FE1" w:rsidRPr="007725F1" w:rsidRDefault="00434FE1" w:rsidP="00434FE1">
      <w:pPr>
        <w:rPr>
          <w:rFonts w:asciiTheme="minorHAnsi" w:hAnsiTheme="minorHAnsi"/>
          <w:sz w:val="22"/>
          <w:szCs w:val="22"/>
        </w:rPr>
      </w:pPr>
      <w:r w:rsidRPr="007725F1">
        <w:rPr>
          <w:rFonts w:asciiTheme="minorHAnsi" w:hAnsiTheme="minorHAnsi"/>
          <w:sz w:val="22"/>
          <w:szCs w:val="22"/>
        </w:rPr>
        <w:t xml:space="preserve">Chair </w:t>
      </w:r>
      <w:r w:rsidRPr="007725F1">
        <w:rPr>
          <w:rFonts w:asciiTheme="minorHAnsi" w:hAnsiTheme="minorHAnsi"/>
          <w:sz w:val="22"/>
          <w:szCs w:val="22"/>
        </w:rPr>
        <w:tab/>
      </w:r>
      <w:r w:rsidRPr="007725F1">
        <w:rPr>
          <w:rFonts w:asciiTheme="minorHAnsi" w:hAnsiTheme="minorHAnsi"/>
          <w:sz w:val="22"/>
          <w:szCs w:val="22"/>
        </w:rPr>
        <w:tab/>
      </w:r>
      <w:r w:rsidRPr="007725F1">
        <w:rPr>
          <w:rFonts w:asciiTheme="minorHAnsi" w:hAnsiTheme="minorHAnsi"/>
          <w:sz w:val="22"/>
          <w:szCs w:val="22"/>
        </w:rPr>
        <w:tab/>
      </w:r>
      <w:r w:rsidRPr="007725F1">
        <w:rPr>
          <w:rFonts w:asciiTheme="minorHAnsi" w:hAnsiTheme="minorHAnsi"/>
          <w:sz w:val="22"/>
          <w:szCs w:val="22"/>
        </w:rPr>
        <w:tab/>
      </w:r>
      <w:r w:rsidRPr="007725F1">
        <w:rPr>
          <w:rFonts w:asciiTheme="minorHAnsi" w:hAnsiTheme="minorHAnsi"/>
          <w:sz w:val="22"/>
          <w:szCs w:val="22"/>
        </w:rPr>
        <w:tab/>
      </w:r>
      <w:r w:rsidRPr="007725F1">
        <w:rPr>
          <w:rFonts w:asciiTheme="minorHAnsi" w:hAnsiTheme="minorHAnsi"/>
          <w:sz w:val="22"/>
          <w:szCs w:val="22"/>
        </w:rPr>
        <w:tab/>
      </w:r>
      <w:r w:rsidRPr="007725F1">
        <w:rPr>
          <w:rFonts w:asciiTheme="minorHAnsi" w:hAnsiTheme="minorHAnsi"/>
          <w:sz w:val="22"/>
          <w:szCs w:val="22"/>
        </w:rPr>
        <w:tab/>
      </w:r>
      <w:r w:rsidRPr="007725F1">
        <w:rPr>
          <w:rFonts w:asciiTheme="minorHAnsi" w:hAnsiTheme="minorHAnsi"/>
          <w:sz w:val="22"/>
          <w:szCs w:val="22"/>
        </w:rPr>
        <w:tab/>
        <w:t>Vice Chair</w:t>
      </w:r>
    </w:p>
    <w:p w14:paraId="4637A26B" w14:textId="77777777" w:rsidR="00434FE1" w:rsidRPr="007725F1" w:rsidRDefault="00434FE1" w:rsidP="00434FE1">
      <w:pPr>
        <w:rPr>
          <w:rFonts w:asciiTheme="minorHAnsi" w:hAnsiTheme="minorHAnsi"/>
          <w:sz w:val="22"/>
          <w:szCs w:val="22"/>
        </w:rPr>
      </w:pPr>
    </w:p>
    <w:p w14:paraId="5F5ECFAA" w14:textId="77777777" w:rsidR="00434FE1" w:rsidRPr="007725F1" w:rsidRDefault="00434FE1" w:rsidP="00434FE1">
      <w:pPr>
        <w:rPr>
          <w:rFonts w:asciiTheme="minorHAnsi" w:hAnsiTheme="minorHAnsi"/>
          <w:sz w:val="22"/>
          <w:szCs w:val="22"/>
        </w:rPr>
      </w:pPr>
    </w:p>
    <w:p w14:paraId="5351A312" w14:textId="77777777" w:rsidR="001722A6" w:rsidRDefault="001722A6" w:rsidP="00434FE1">
      <w:pPr>
        <w:rPr>
          <w:rFonts w:asciiTheme="minorHAnsi" w:hAnsiTheme="minorHAnsi"/>
          <w:sz w:val="22"/>
          <w:szCs w:val="22"/>
        </w:rPr>
      </w:pPr>
      <w:r w:rsidRPr="007725F1">
        <w:rPr>
          <w:rFonts w:asciiTheme="minorHAnsi" w:hAnsiTheme="minorHAnsi"/>
          <w:sz w:val="22"/>
          <w:szCs w:val="22"/>
        </w:rPr>
        <w:t>C</w:t>
      </w:r>
      <w:r w:rsidR="00434FE1" w:rsidRPr="007725F1">
        <w:rPr>
          <w:rFonts w:asciiTheme="minorHAnsi" w:hAnsiTheme="minorHAnsi"/>
          <w:sz w:val="22"/>
          <w:szCs w:val="22"/>
        </w:rPr>
        <w:t>c</w:t>
      </w:r>
      <w:r>
        <w:rPr>
          <w:rFonts w:asciiTheme="minorHAnsi" w:hAnsiTheme="minorHAnsi"/>
          <w:sz w:val="22"/>
          <w:szCs w:val="22"/>
        </w:rPr>
        <w:t>: Morgan Tracy, BPS</w:t>
      </w:r>
    </w:p>
    <w:p w14:paraId="7DE9BC1B" w14:textId="77777777" w:rsidR="00434FE1" w:rsidRPr="007725F1" w:rsidRDefault="00434FE1" w:rsidP="00434FE1">
      <w:pPr>
        <w:rPr>
          <w:rFonts w:asciiTheme="minorHAnsi" w:hAnsiTheme="minorHAnsi"/>
          <w:sz w:val="22"/>
          <w:szCs w:val="22"/>
        </w:rPr>
      </w:pPr>
      <w:r w:rsidRPr="007725F1">
        <w:rPr>
          <w:rFonts w:asciiTheme="minorHAnsi" w:hAnsiTheme="minorHAnsi"/>
          <w:sz w:val="22"/>
          <w:szCs w:val="22"/>
        </w:rPr>
        <w:t>Brandon Spencer-Hartle, BPS</w:t>
      </w:r>
    </w:p>
    <w:p w14:paraId="0AE25E75" w14:textId="77777777" w:rsidR="00434FE1" w:rsidRDefault="00434FE1" w:rsidP="00434FE1">
      <w:pPr>
        <w:rPr>
          <w:rFonts w:asciiTheme="minorHAnsi" w:hAnsiTheme="minorHAnsi"/>
          <w:sz w:val="22"/>
          <w:szCs w:val="22"/>
        </w:rPr>
      </w:pPr>
      <w:r w:rsidRPr="007725F1">
        <w:rPr>
          <w:rFonts w:asciiTheme="minorHAnsi" w:hAnsiTheme="minorHAnsi"/>
          <w:sz w:val="22"/>
          <w:szCs w:val="22"/>
        </w:rPr>
        <w:t>Hillary Adam, BDS</w:t>
      </w:r>
    </w:p>
    <w:p w14:paraId="294E71B7" w14:textId="77777777" w:rsidR="00434FE1" w:rsidRPr="007725F1" w:rsidRDefault="00434FE1" w:rsidP="00434FE1">
      <w:pPr>
        <w:rPr>
          <w:rFonts w:asciiTheme="minorHAnsi" w:hAnsiTheme="minorHAnsi"/>
          <w:sz w:val="22"/>
          <w:szCs w:val="22"/>
        </w:rPr>
      </w:pPr>
      <w:r>
        <w:rPr>
          <w:rFonts w:asciiTheme="minorHAnsi" w:hAnsiTheme="minorHAnsi"/>
          <w:sz w:val="22"/>
          <w:szCs w:val="22"/>
        </w:rPr>
        <w:t>Benjamin Nielsen, BDS</w:t>
      </w:r>
    </w:p>
    <w:p w14:paraId="416D50B2" w14:textId="77777777" w:rsidR="00EB47BD" w:rsidRPr="00183081" w:rsidRDefault="00EB47BD" w:rsidP="004D7666">
      <w:pPr>
        <w:rPr>
          <w:rFonts w:ascii="Tw Cen MT" w:hAnsi="Tw Cen MT"/>
          <w:sz w:val="22"/>
          <w:szCs w:val="22"/>
        </w:rPr>
      </w:pPr>
    </w:p>
    <w:sectPr w:rsidR="00EB47BD" w:rsidRPr="00183081" w:rsidSect="00852A14">
      <w:headerReference w:type="first" r:id="rId11"/>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0FE6C" w14:textId="77777777" w:rsidR="004B2F93" w:rsidRDefault="004B2F93">
      <w:r>
        <w:separator/>
      </w:r>
    </w:p>
  </w:endnote>
  <w:endnote w:type="continuationSeparator" w:id="0">
    <w:p w14:paraId="37377041" w14:textId="77777777" w:rsidR="004B2F93" w:rsidRDefault="004B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0914" w14:textId="77777777" w:rsidR="004B2F93" w:rsidRDefault="004B2F93">
      <w:r>
        <w:separator/>
      </w:r>
    </w:p>
  </w:footnote>
  <w:footnote w:type="continuationSeparator" w:id="0">
    <w:p w14:paraId="130B4C56" w14:textId="77777777" w:rsidR="004B2F93" w:rsidRDefault="004B2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76769" w14:textId="77777777" w:rsidR="00C9594D" w:rsidRDefault="00857ACB">
    <w:pPr>
      <w:pStyle w:val="Header"/>
    </w:pPr>
    <w:r>
      <w:rPr>
        <w:noProof/>
      </w:rPr>
      <mc:AlternateContent>
        <mc:Choice Requires="wps">
          <w:drawing>
            <wp:anchor distT="0" distB="0" distL="114300" distR="114300" simplePos="0" relativeHeight="251658240" behindDoc="0" locked="0" layoutInCell="0" allowOverlap="1" wp14:anchorId="0023F171" wp14:editId="7DF238BD">
              <wp:simplePos x="0" y="0"/>
              <wp:positionH relativeFrom="column">
                <wp:posOffset>-565785</wp:posOffset>
              </wp:positionH>
              <wp:positionV relativeFrom="paragraph">
                <wp:posOffset>-340360</wp:posOffset>
              </wp:positionV>
              <wp:extent cx="1374140" cy="1270000"/>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1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942F6" w14:textId="77777777" w:rsidR="00C9594D" w:rsidRDefault="00857ACB">
                          <w:r>
                            <w:rPr>
                              <w:noProof/>
                            </w:rPr>
                            <w:drawing>
                              <wp:inline distT="0" distB="0" distL="0" distR="0" wp14:anchorId="24C4F440" wp14:editId="32DAFA31">
                                <wp:extent cx="1190625" cy="1181100"/>
                                <wp:effectExtent l="0" t="0" r="9525" b="0"/>
                                <wp:docPr id="5" name="Picture 3" descr="LandM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dMar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1181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3F171" id="_x0000_t202" coordsize="21600,21600" o:spt="202" path="m,l,21600r21600,l21600,xe">
              <v:stroke joinstyle="miter"/>
              <v:path gradientshapeok="t" o:connecttype="rect"/>
            </v:shapetype>
            <v:shape id="Text Box 12" o:spid="_x0000_s1026" type="#_x0000_t202" style="position:absolute;margin-left:-44.55pt;margin-top:-26.8pt;width:108.2pt;height:10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RBrtAIAALs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" o:allowincell="f" filled="f" stroked="f">
              <v:textbox>
                <w:txbxContent>
                  <w:p w14:paraId="739942F6" w14:textId="77777777" w:rsidR="00C9594D" w:rsidRDefault="00857ACB">
                    <w:r>
                      <w:rPr>
                        <w:noProof/>
                      </w:rPr>
                      <w:drawing>
                        <wp:inline distT="0" distB="0" distL="0" distR="0" wp14:anchorId="24C4F440" wp14:editId="32DAFA31">
                          <wp:extent cx="1190625" cy="1181100"/>
                          <wp:effectExtent l="0" t="0" r="9525" b="0"/>
                          <wp:docPr id="5" name="Picture 3" descr="LandM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dMar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11811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6192" behindDoc="0" locked="0" layoutInCell="0" allowOverlap="1" wp14:anchorId="5077AFCF" wp14:editId="1AA077E3">
              <wp:simplePos x="0" y="0"/>
              <wp:positionH relativeFrom="column">
                <wp:posOffset>3777615</wp:posOffset>
              </wp:positionH>
              <wp:positionV relativeFrom="paragraph">
                <wp:posOffset>2540</wp:posOffset>
              </wp:positionV>
              <wp:extent cx="2847975" cy="1114425"/>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14E4F" w14:textId="77777777" w:rsidR="00C9594D" w:rsidRDefault="00C9594D">
                          <w:pPr>
                            <w:jc w:val="right"/>
                            <w:rPr>
                              <w:rFonts w:ascii="Arial" w:hAnsi="Arial"/>
                              <w:sz w:val="22"/>
                            </w:rPr>
                          </w:pPr>
                          <w:r>
                            <w:rPr>
                              <w:rFonts w:ascii="Arial" w:hAnsi="Arial"/>
                              <w:sz w:val="22"/>
                            </w:rPr>
                            <w:t>1900 SW Fourth Ave., Suite 5000 / 16</w:t>
                          </w:r>
                        </w:p>
                        <w:p w14:paraId="54F5D0D0" w14:textId="77777777" w:rsidR="00C9594D" w:rsidRDefault="00C9594D">
                          <w:pPr>
                            <w:jc w:val="right"/>
                            <w:rPr>
                              <w:rFonts w:ascii="Arial" w:hAnsi="Arial"/>
                              <w:sz w:val="22"/>
                            </w:rPr>
                          </w:pPr>
                          <w:r>
                            <w:rPr>
                              <w:rFonts w:ascii="Arial" w:hAnsi="Arial"/>
                              <w:sz w:val="22"/>
                            </w:rPr>
                            <w:t>Portland, Oregon 97201</w:t>
                          </w:r>
                        </w:p>
                        <w:p w14:paraId="7558AA87" w14:textId="77777777" w:rsidR="00C9594D" w:rsidRDefault="00C9594D">
                          <w:pPr>
                            <w:jc w:val="right"/>
                            <w:rPr>
                              <w:rFonts w:ascii="Arial" w:hAnsi="Arial"/>
                              <w:sz w:val="22"/>
                            </w:rPr>
                          </w:pPr>
                          <w:r>
                            <w:rPr>
                              <w:rFonts w:ascii="Arial" w:hAnsi="Arial"/>
                              <w:sz w:val="22"/>
                            </w:rPr>
                            <w:t>Telephone: (503) 823-7300</w:t>
                          </w:r>
                        </w:p>
                        <w:p w14:paraId="6592FD9E" w14:textId="77777777" w:rsidR="00C9594D" w:rsidRDefault="00C9594D">
                          <w:pPr>
                            <w:jc w:val="right"/>
                            <w:rPr>
                              <w:rFonts w:ascii="Arial" w:hAnsi="Arial"/>
                              <w:sz w:val="22"/>
                            </w:rPr>
                          </w:pPr>
                          <w:r>
                            <w:rPr>
                              <w:rFonts w:ascii="Arial" w:hAnsi="Arial"/>
                              <w:sz w:val="22"/>
                            </w:rPr>
                            <w:t>TDD: (503) 823-6868</w:t>
                          </w:r>
                        </w:p>
                        <w:p w14:paraId="53188AE9" w14:textId="77777777" w:rsidR="00C9594D" w:rsidRDefault="00C9594D">
                          <w:pPr>
                            <w:jc w:val="right"/>
                            <w:rPr>
                              <w:rFonts w:ascii="Arial" w:hAnsi="Arial"/>
                              <w:sz w:val="22"/>
                            </w:rPr>
                          </w:pPr>
                          <w:r>
                            <w:rPr>
                              <w:rFonts w:ascii="Arial" w:hAnsi="Arial"/>
                              <w:sz w:val="22"/>
                            </w:rPr>
                            <w:t>FAX: (503) 823-5630</w:t>
                          </w:r>
                        </w:p>
                        <w:p w14:paraId="6F95F7CA" w14:textId="77777777" w:rsidR="00C9594D" w:rsidRDefault="00C9594D">
                          <w:pPr>
                            <w:jc w:val="right"/>
                            <w:rPr>
                              <w:rFonts w:ascii="Arial" w:hAnsi="Arial"/>
                              <w:sz w:val="22"/>
                            </w:rPr>
                          </w:pPr>
                          <w:r>
                            <w:rPr>
                              <w:rFonts w:ascii="Arial" w:hAnsi="Arial"/>
                              <w:sz w:val="22"/>
                            </w:rPr>
                            <w:t>www.portlandonline.com/bds</w:t>
                          </w:r>
                        </w:p>
                        <w:p w14:paraId="674FF6D8" w14:textId="77777777" w:rsidR="00C9594D" w:rsidRDefault="00C9594D">
                          <w:pPr>
                            <w:pStyle w:val="Header"/>
                            <w:rPr>
                              <w:sz w:val="22"/>
                            </w:rPr>
                          </w:pPr>
                        </w:p>
                        <w:p w14:paraId="01BD9D0E" w14:textId="77777777" w:rsidR="00C9594D" w:rsidRDefault="00C9594D">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7AFCF" id="Text Box 10" o:spid="_x0000_s1027" type="#_x0000_t202" style="position:absolute;margin-left:297.45pt;margin-top:.2pt;width:224.25pt;height:8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3ExhQIAABg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" o:allowincell="f" stroked="f">
              <v:textbox>
                <w:txbxContent>
                  <w:p w14:paraId="0A114E4F" w14:textId="77777777" w:rsidR="00C9594D" w:rsidRDefault="00C9594D">
                    <w:pPr>
                      <w:jc w:val="right"/>
                      <w:rPr>
                        <w:rFonts w:ascii="Arial" w:hAnsi="Arial"/>
                        <w:sz w:val="22"/>
                      </w:rPr>
                    </w:pPr>
                    <w:r>
                      <w:rPr>
                        <w:rFonts w:ascii="Arial" w:hAnsi="Arial"/>
                        <w:sz w:val="22"/>
                      </w:rPr>
                      <w:t>1900 SW Fourth Ave., Suite 5000 / 16</w:t>
                    </w:r>
                  </w:p>
                  <w:p w14:paraId="54F5D0D0" w14:textId="77777777" w:rsidR="00C9594D" w:rsidRDefault="00C9594D">
                    <w:pPr>
                      <w:jc w:val="right"/>
                      <w:rPr>
                        <w:rFonts w:ascii="Arial" w:hAnsi="Arial"/>
                        <w:sz w:val="22"/>
                      </w:rPr>
                    </w:pPr>
                    <w:r>
                      <w:rPr>
                        <w:rFonts w:ascii="Arial" w:hAnsi="Arial"/>
                        <w:sz w:val="22"/>
                      </w:rPr>
                      <w:t>Portland, Oregon 97201</w:t>
                    </w:r>
                  </w:p>
                  <w:p w14:paraId="7558AA87" w14:textId="77777777" w:rsidR="00C9594D" w:rsidRDefault="00C9594D">
                    <w:pPr>
                      <w:jc w:val="right"/>
                      <w:rPr>
                        <w:rFonts w:ascii="Arial" w:hAnsi="Arial"/>
                        <w:sz w:val="22"/>
                      </w:rPr>
                    </w:pPr>
                    <w:r>
                      <w:rPr>
                        <w:rFonts w:ascii="Arial" w:hAnsi="Arial"/>
                        <w:sz w:val="22"/>
                      </w:rPr>
                      <w:t>Telephone: (503) 823-7300</w:t>
                    </w:r>
                  </w:p>
                  <w:p w14:paraId="6592FD9E" w14:textId="77777777" w:rsidR="00C9594D" w:rsidRDefault="00C9594D">
                    <w:pPr>
                      <w:jc w:val="right"/>
                      <w:rPr>
                        <w:rFonts w:ascii="Arial" w:hAnsi="Arial"/>
                        <w:sz w:val="22"/>
                      </w:rPr>
                    </w:pPr>
                    <w:r>
                      <w:rPr>
                        <w:rFonts w:ascii="Arial" w:hAnsi="Arial"/>
                        <w:sz w:val="22"/>
                      </w:rPr>
                      <w:t>TDD: (503) 823-6868</w:t>
                    </w:r>
                  </w:p>
                  <w:p w14:paraId="53188AE9" w14:textId="77777777" w:rsidR="00C9594D" w:rsidRDefault="00C9594D">
                    <w:pPr>
                      <w:jc w:val="right"/>
                      <w:rPr>
                        <w:rFonts w:ascii="Arial" w:hAnsi="Arial"/>
                        <w:sz w:val="22"/>
                      </w:rPr>
                    </w:pPr>
                    <w:r>
                      <w:rPr>
                        <w:rFonts w:ascii="Arial" w:hAnsi="Arial"/>
                        <w:sz w:val="22"/>
                      </w:rPr>
                      <w:t>FAX: (503) 823-5630</w:t>
                    </w:r>
                  </w:p>
                  <w:p w14:paraId="6F95F7CA" w14:textId="77777777" w:rsidR="00C9594D" w:rsidRDefault="00C9594D">
                    <w:pPr>
                      <w:jc w:val="right"/>
                      <w:rPr>
                        <w:rFonts w:ascii="Arial" w:hAnsi="Arial"/>
                        <w:sz w:val="22"/>
                      </w:rPr>
                    </w:pPr>
                    <w:r>
                      <w:rPr>
                        <w:rFonts w:ascii="Arial" w:hAnsi="Arial"/>
                        <w:sz w:val="22"/>
                      </w:rPr>
                      <w:t>www.portlandonline.com/bds</w:t>
                    </w:r>
                  </w:p>
                  <w:p w14:paraId="674FF6D8" w14:textId="77777777" w:rsidR="00C9594D" w:rsidRDefault="00C9594D">
                    <w:pPr>
                      <w:pStyle w:val="Header"/>
                      <w:rPr>
                        <w:sz w:val="22"/>
                      </w:rPr>
                    </w:pPr>
                  </w:p>
                  <w:p w14:paraId="01BD9D0E" w14:textId="77777777" w:rsidR="00C9594D" w:rsidRDefault="00C9594D">
                    <w:pPr>
                      <w:pStyle w:val="Header"/>
                      <w:tabs>
                        <w:tab w:val="clear" w:pos="4320"/>
                        <w:tab w:val="clear" w:pos="8640"/>
                      </w:tabs>
                    </w:pPr>
                  </w:p>
                </w:txbxContent>
              </v:textbox>
            </v:shape>
          </w:pict>
        </mc:Fallback>
      </mc:AlternateContent>
    </w:r>
    <w:r>
      <w:rPr>
        <w:noProof/>
      </w:rPr>
      <mc:AlternateContent>
        <mc:Choice Requires="wps">
          <w:drawing>
            <wp:anchor distT="0" distB="0" distL="114300" distR="114300" simplePos="0" relativeHeight="251657216" behindDoc="0" locked="0" layoutInCell="0" allowOverlap="1" wp14:anchorId="1923F138" wp14:editId="12E9BC33">
              <wp:simplePos x="0" y="0"/>
              <wp:positionH relativeFrom="column">
                <wp:posOffset>-222885</wp:posOffset>
              </wp:positionH>
              <wp:positionV relativeFrom="paragraph">
                <wp:posOffset>231140</wp:posOffset>
              </wp:positionV>
              <wp:extent cx="4686300" cy="828675"/>
              <wp:effectExtent l="0" t="0" r="0" b="0"/>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A1E11" w14:textId="77777777" w:rsidR="00C9594D" w:rsidRDefault="00C9594D">
                          <w:pPr>
                            <w:pStyle w:val="Caption"/>
                            <w:spacing w:line="240" w:lineRule="auto"/>
                            <w:rPr>
                              <w:sz w:val="32"/>
                            </w:rPr>
                          </w:pPr>
                          <w:r>
                            <w:rPr>
                              <w:b/>
                              <w:sz w:val="32"/>
                            </w:rPr>
                            <w:t>City of Portland</w:t>
                          </w:r>
                        </w:p>
                        <w:p w14:paraId="3C402C65" w14:textId="77777777" w:rsidR="00C9594D" w:rsidRDefault="00C9594D">
                          <w:pPr>
                            <w:pStyle w:val="Caption"/>
                            <w:spacing w:line="240" w:lineRule="auto"/>
                            <w:rPr>
                              <w:sz w:val="28"/>
                            </w:rPr>
                          </w:pPr>
                          <w:r>
                            <w:rPr>
                              <w:sz w:val="28"/>
                            </w:rPr>
                            <w:t>Historic Landmarks Commission</w:t>
                          </w:r>
                        </w:p>
                        <w:p w14:paraId="04F3FDB4" w14:textId="77777777" w:rsidR="00C9594D" w:rsidRDefault="00C959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3F138" id="Text Box 11" o:spid="_x0000_s1028" type="#_x0000_t202" style="position:absolute;margin-left:-17.55pt;margin-top:18.2pt;width:369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DLXtw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" o:allowincell="f" filled="f" stroked="f">
              <v:textbox>
                <w:txbxContent>
                  <w:p w14:paraId="205A1E11" w14:textId="77777777" w:rsidR="00C9594D" w:rsidRDefault="00C9594D">
                    <w:pPr>
                      <w:pStyle w:val="Caption"/>
                      <w:spacing w:line="240" w:lineRule="auto"/>
                      <w:rPr>
                        <w:sz w:val="32"/>
                      </w:rPr>
                    </w:pPr>
                    <w:r>
                      <w:rPr>
                        <w:b/>
                        <w:sz w:val="32"/>
                      </w:rPr>
                      <w:t>City of Portland</w:t>
                    </w:r>
                  </w:p>
                  <w:p w14:paraId="3C402C65" w14:textId="77777777" w:rsidR="00C9594D" w:rsidRDefault="00C9594D">
                    <w:pPr>
                      <w:pStyle w:val="Caption"/>
                      <w:spacing w:line="240" w:lineRule="auto"/>
                      <w:rPr>
                        <w:sz w:val="28"/>
                      </w:rPr>
                    </w:pPr>
                    <w:r>
                      <w:rPr>
                        <w:sz w:val="28"/>
                      </w:rPr>
                      <w:t>Historic Landmarks Commission</w:t>
                    </w:r>
                  </w:p>
                  <w:p w14:paraId="04F3FDB4" w14:textId="77777777" w:rsidR="00C9594D" w:rsidRDefault="00C9594D"/>
                </w:txbxContent>
              </v:textbox>
              <w10:wrap type="square"/>
            </v:shape>
          </w:pict>
        </mc:Fallback>
      </mc:AlternateContent>
    </w:r>
    <w:r>
      <w:rPr>
        <w:noProof/>
      </w:rPr>
      <mc:AlternateContent>
        <mc:Choice Requires="wps">
          <w:drawing>
            <wp:anchor distT="0" distB="0" distL="114300" distR="114300" simplePos="0" relativeHeight="251659264" behindDoc="0" locked="0" layoutInCell="0" allowOverlap="1" wp14:anchorId="2BE5B59D" wp14:editId="26750DA5">
              <wp:simplePos x="0" y="0"/>
              <wp:positionH relativeFrom="column">
                <wp:posOffset>-1143000</wp:posOffset>
              </wp:positionH>
              <wp:positionV relativeFrom="paragraph">
                <wp:posOffset>1188720</wp:posOffset>
              </wp:positionV>
              <wp:extent cx="7896225" cy="4445"/>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6225" cy="444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6342BE"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3.6pt" to="531.75pt,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" o:allowincell="f"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00F2C"/>
    <w:multiLevelType w:val="hybridMultilevel"/>
    <w:tmpl w:val="9DE848E8"/>
    <w:lvl w:ilvl="0" w:tplc="8F8A22B4">
      <w:start w:val="1"/>
      <w:numFmt w:val="bullet"/>
      <w:lvlText w:val=""/>
      <w:lvlJc w:val="left"/>
      <w:pPr>
        <w:tabs>
          <w:tab w:val="num" w:pos="720"/>
        </w:tabs>
        <w:ind w:left="720" w:hanging="360"/>
      </w:pPr>
      <w:rPr>
        <w:rFonts w:ascii="Symbol" w:hAnsi="Symbol" w:hint="default"/>
      </w:rPr>
    </w:lvl>
    <w:lvl w:ilvl="1" w:tplc="A436567A" w:tentative="1">
      <w:start w:val="1"/>
      <w:numFmt w:val="bullet"/>
      <w:lvlText w:val="o"/>
      <w:lvlJc w:val="left"/>
      <w:pPr>
        <w:tabs>
          <w:tab w:val="num" w:pos="1440"/>
        </w:tabs>
        <w:ind w:left="1440" w:hanging="360"/>
      </w:pPr>
      <w:rPr>
        <w:rFonts w:ascii="Courier New" w:hAnsi="Courier New" w:hint="default"/>
      </w:rPr>
    </w:lvl>
    <w:lvl w:ilvl="2" w:tplc="FC4469D6" w:tentative="1">
      <w:start w:val="1"/>
      <w:numFmt w:val="bullet"/>
      <w:lvlText w:val=""/>
      <w:lvlJc w:val="left"/>
      <w:pPr>
        <w:tabs>
          <w:tab w:val="num" w:pos="2160"/>
        </w:tabs>
        <w:ind w:left="2160" w:hanging="360"/>
      </w:pPr>
      <w:rPr>
        <w:rFonts w:ascii="Wingdings" w:hAnsi="Wingdings" w:hint="default"/>
      </w:rPr>
    </w:lvl>
    <w:lvl w:ilvl="3" w:tplc="9AFA0D16" w:tentative="1">
      <w:start w:val="1"/>
      <w:numFmt w:val="bullet"/>
      <w:lvlText w:val=""/>
      <w:lvlJc w:val="left"/>
      <w:pPr>
        <w:tabs>
          <w:tab w:val="num" w:pos="2880"/>
        </w:tabs>
        <w:ind w:left="2880" w:hanging="360"/>
      </w:pPr>
      <w:rPr>
        <w:rFonts w:ascii="Symbol" w:hAnsi="Symbol" w:hint="default"/>
      </w:rPr>
    </w:lvl>
    <w:lvl w:ilvl="4" w:tplc="453ECB20" w:tentative="1">
      <w:start w:val="1"/>
      <w:numFmt w:val="bullet"/>
      <w:lvlText w:val="o"/>
      <w:lvlJc w:val="left"/>
      <w:pPr>
        <w:tabs>
          <w:tab w:val="num" w:pos="3600"/>
        </w:tabs>
        <w:ind w:left="3600" w:hanging="360"/>
      </w:pPr>
      <w:rPr>
        <w:rFonts w:ascii="Courier New" w:hAnsi="Courier New" w:hint="default"/>
      </w:rPr>
    </w:lvl>
    <w:lvl w:ilvl="5" w:tplc="0D8C31A0" w:tentative="1">
      <w:start w:val="1"/>
      <w:numFmt w:val="bullet"/>
      <w:lvlText w:val=""/>
      <w:lvlJc w:val="left"/>
      <w:pPr>
        <w:tabs>
          <w:tab w:val="num" w:pos="4320"/>
        </w:tabs>
        <w:ind w:left="4320" w:hanging="360"/>
      </w:pPr>
      <w:rPr>
        <w:rFonts w:ascii="Wingdings" w:hAnsi="Wingdings" w:hint="default"/>
      </w:rPr>
    </w:lvl>
    <w:lvl w:ilvl="6" w:tplc="39BC566E" w:tentative="1">
      <w:start w:val="1"/>
      <w:numFmt w:val="bullet"/>
      <w:lvlText w:val=""/>
      <w:lvlJc w:val="left"/>
      <w:pPr>
        <w:tabs>
          <w:tab w:val="num" w:pos="5040"/>
        </w:tabs>
        <w:ind w:left="5040" w:hanging="360"/>
      </w:pPr>
      <w:rPr>
        <w:rFonts w:ascii="Symbol" w:hAnsi="Symbol" w:hint="default"/>
      </w:rPr>
    </w:lvl>
    <w:lvl w:ilvl="7" w:tplc="1EF2B4A0" w:tentative="1">
      <w:start w:val="1"/>
      <w:numFmt w:val="bullet"/>
      <w:lvlText w:val="o"/>
      <w:lvlJc w:val="left"/>
      <w:pPr>
        <w:tabs>
          <w:tab w:val="num" w:pos="5760"/>
        </w:tabs>
        <w:ind w:left="5760" w:hanging="360"/>
      </w:pPr>
      <w:rPr>
        <w:rFonts w:ascii="Courier New" w:hAnsi="Courier New" w:hint="default"/>
      </w:rPr>
    </w:lvl>
    <w:lvl w:ilvl="8" w:tplc="E1D401F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85487A"/>
    <w:multiLevelType w:val="hybridMultilevel"/>
    <w:tmpl w:val="78B4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8442E"/>
    <w:multiLevelType w:val="hybridMultilevel"/>
    <w:tmpl w:val="A32E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B5E09"/>
    <w:multiLevelType w:val="hybridMultilevel"/>
    <w:tmpl w:val="964A3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E31AA"/>
    <w:multiLevelType w:val="hybridMultilevel"/>
    <w:tmpl w:val="6310C1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B06CB"/>
    <w:multiLevelType w:val="hybridMultilevel"/>
    <w:tmpl w:val="6EA41D56"/>
    <w:lvl w:ilvl="0" w:tplc="04090005">
      <w:start w:val="1"/>
      <w:numFmt w:val="bullet"/>
      <w:lvlText w:val=""/>
      <w:lvlJc w:val="left"/>
      <w:pPr>
        <w:ind w:left="720" w:hanging="360"/>
      </w:pPr>
      <w:rPr>
        <w:rFonts w:ascii="Wingdings" w:hAnsi="Wingdings" w:hint="default"/>
      </w:rPr>
    </w:lvl>
    <w:lvl w:ilvl="1" w:tplc="B3AC48F4">
      <w:start w:val="1"/>
      <w:numFmt w:val="bullet"/>
      <w:lvlText w:val=""/>
      <w:lvlJc w:val="left"/>
      <w:pPr>
        <w:ind w:left="1440" w:hanging="360"/>
      </w:pPr>
      <w:rPr>
        <w:rFonts w:ascii="Wingdings" w:hAnsi="Wingdings" w:hint="default"/>
        <w:sz w:val="1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C4516"/>
    <w:multiLevelType w:val="hybridMultilevel"/>
    <w:tmpl w:val="DE8E97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50FDB"/>
    <w:multiLevelType w:val="hybridMultilevel"/>
    <w:tmpl w:val="88B61AFE"/>
    <w:lvl w:ilvl="0" w:tplc="56D0F332">
      <w:start w:val="1"/>
      <w:numFmt w:val="decimal"/>
      <w:lvlText w:val="%1."/>
      <w:lvlJc w:val="left"/>
      <w:pPr>
        <w:ind w:left="720" w:hanging="360"/>
      </w:pPr>
      <w:rPr>
        <w:rFonts w:hint="default"/>
        <w:color w:val="FF2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52FCF"/>
    <w:multiLevelType w:val="hybridMultilevel"/>
    <w:tmpl w:val="99363A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6B3C6A"/>
    <w:multiLevelType w:val="hybridMultilevel"/>
    <w:tmpl w:val="CFD8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0259E7"/>
    <w:multiLevelType w:val="hybridMultilevel"/>
    <w:tmpl w:val="56E27D8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11" w15:restartNumberingAfterBreak="0">
    <w:nsid w:val="42544584"/>
    <w:multiLevelType w:val="multilevel"/>
    <w:tmpl w:val="2D62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FC7B43"/>
    <w:multiLevelType w:val="hybridMultilevel"/>
    <w:tmpl w:val="2E48E5CA"/>
    <w:lvl w:ilvl="0" w:tplc="04090005">
      <w:start w:val="1"/>
      <w:numFmt w:val="bullet"/>
      <w:lvlText w:val=""/>
      <w:lvlJc w:val="left"/>
      <w:pPr>
        <w:ind w:left="720" w:hanging="360"/>
      </w:pPr>
      <w:rPr>
        <w:rFonts w:ascii="Wingdings" w:hAnsi="Wingdings" w:hint="default"/>
      </w:rPr>
    </w:lvl>
    <w:lvl w:ilvl="1" w:tplc="2C0AD1EA">
      <w:start w:val="1"/>
      <w:numFmt w:val="bullet"/>
      <w:lvlText w:val=""/>
      <w:lvlJc w:val="left"/>
      <w:pPr>
        <w:ind w:left="1440" w:hanging="360"/>
      </w:pPr>
      <w:rPr>
        <w:rFonts w:ascii="Wingdings" w:hAnsi="Wingdings" w:hint="default"/>
        <w:sz w:val="16"/>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1902F2"/>
    <w:multiLevelType w:val="hybridMultilevel"/>
    <w:tmpl w:val="BDBC4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DF1C7A"/>
    <w:multiLevelType w:val="hybridMultilevel"/>
    <w:tmpl w:val="6352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EB7D14"/>
    <w:multiLevelType w:val="hybridMultilevel"/>
    <w:tmpl w:val="EED26EF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3"/>
  </w:num>
  <w:num w:numId="4">
    <w:abstractNumId w:val="1"/>
  </w:num>
  <w:num w:numId="5">
    <w:abstractNumId w:val="3"/>
  </w:num>
  <w:num w:numId="6">
    <w:abstractNumId w:val="15"/>
  </w:num>
  <w:num w:numId="7">
    <w:abstractNumId w:val="14"/>
  </w:num>
  <w:num w:numId="8">
    <w:abstractNumId w:val="2"/>
  </w:num>
  <w:num w:numId="9">
    <w:abstractNumId w:val="11"/>
  </w:num>
  <w:num w:numId="10">
    <w:abstractNumId w:val="9"/>
  </w:num>
  <w:num w:numId="11">
    <w:abstractNumId w:val="7"/>
  </w:num>
  <w:num w:numId="12">
    <w:abstractNumId w:val="8"/>
  </w:num>
  <w:num w:numId="13">
    <w:abstractNumId w:val="6"/>
  </w:num>
  <w:num w:numId="14">
    <w:abstractNumId w:val="1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BB"/>
    <w:rsid w:val="00000907"/>
    <w:rsid w:val="000015EA"/>
    <w:rsid w:val="00005DF6"/>
    <w:rsid w:val="000064FA"/>
    <w:rsid w:val="00007C6D"/>
    <w:rsid w:val="00013AAC"/>
    <w:rsid w:val="000146C0"/>
    <w:rsid w:val="00015917"/>
    <w:rsid w:val="00023149"/>
    <w:rsid w:val="0002431C"/>
    <w:rsid w:val="00025169"/>
    <w:rsid w:val="0002665B"/>
    <w:rsid w:val="00035F72"/>
    <w:rsid w:val="00042193"/>
    <w:rsid w:val="00044213"/>
    <w:rsid w:val="0004655E"/>
    <w:rsid w:val="00050736"/>
    <w:rsid w:val="00060FF7"/>
    <w:rsid w:val="000779C8"/>
    <w:rsid w:val="0008122D"/>
    <w:rsid w:val="00086922"/>
    <w:rsid w:val="00087922"/>
    <w:rsid w:val="00093428"/>
    <w:rsid w:val="000953E2"/>
    <w:rsid w:val="000A402E"/>
    <w:rsid w:val="000A50E6"/>
    <w:rsid w:val="000B2E45"/>
    <w:rsid w:val="000B4D84"/>
    <w:rsid w:val="000B738F"/>
    <w:rsid w:val="000C3556"/>
    <w:rsid w:val="000C564C"/>
    <w:rsid w:val="000F7943"/>
    <w:rsid w:val="00103EFE"/>
    <w:rsid w:val="00113E44"/>
    <w:rsid w:val="00126E2F"/>
    <w:rsid w:val="0012751A"/>
    <w:rsid w:val="001338FB"/>
    <w:rsid w:val="001474B5"/>
    <w:rsid w:val="001500BF"/>
    <w:rsid w:val="00152575"/>
    <w:rsid w:val="00152F91"/>
    <w:rsid w:val="0016066A"/>
    <w:rsid w:val="00163DBB"/>
    <w:rsid w:val="001722A6"/>
    <w:rsid w:val="001727BF"/>
    <w:rsid w:val="001761B7"/>
    <w:rsid w:val="00183081"/>
    <w:rsid w:val="00184115"/>
    <w:rsid w:val="001A659C"/>
    <w:rsid w:val="001A73A7"/>
    <w:rsid w:val="001B0203"/>
    <w:rsid w:val="001C257F"/>
    <w:rsid w:val="001D2F75"/>
    <w:rsid w:val="001D7197"/>
    <w:rsid w:val="001E664D"/>
    <w:rsid w:val="001E68D0"/>
    <w:rsid w:val="001F59A9"/>
    <w:rsid w:val="00227F4B"/>
    <w:rsid w:val="00230050"/>
    <w:rsid w:val="00251BE9"/>
    <w:rsid w:val="002604B0"/>
    <w:rsid w:val="00266FE1"/>
    <w:rsid w:val="00286671"/>
    <w:rsid w:val="002B156C"/>
    <w:rsid w:val="002B4126"/>
    <w:rsid w:val="002C3802"/>
    <w:rsid w:val="002D54B7"/>
    <w:rsid w:val="002D5D8C"/>
    <w:rsid w:val="002E73C1"/>
    <w:rsid w:val="002E7CCD"/>
    <w:rsid w:val="002F2245"/>
    <w:rsid w:val="00314DCF"/>
    <w:rsid w:val="00314DEC"/>
    <w:rsid w:val="00322050"/>
    <w:rsid w:val="00324555"/>
    <w:rsid w:val="00347E57"/>
    <w:rsid w:val="00353200"/>
    <w:rsid w:val="00365919"/>
    <w:rsid w:val="0038431F"/>
    <w:rsid w:val="003906FB"/>
    <w:rsid w:val="003A6867"/>
    <w:rsid w:val="003A7633"/>
    <w:rsid w:val="003B1FC6"/>
    <w:rsid w:val="003B30DD"/>
    <w:rsid w:val="003C013B"/>
    <w:rsid w:val="003D0BA6"/>
    <w:rsid w:val="003D2C5C"/>
    <w:rsid w:val="003D3512"/>
    <w:rsid w:val="003D7237"/>
    <w:rsid w:val="003E21C9"/>
    <w:rsid w:val="003E2E30"/>
    <w:rsid w:val="003F1A44"/>
    <w:rsid w:val="003F3D22"/>
    <w:rsid w:val="004071B3"/>
    <w:rsid w:val="00421AE9"/>
    <w:rsid w:val="00422A79"/>
    <w:rsid w:val="00422EA1"/>
    <w:rsid w:val="004240F2"/>
    <w:rsid w:val="00424C96"/>
    <w:rsid w:val="00425016"/>
    <w:rsid w:val="00432AFE"/>
    <w:rsid w:val="004339FC"/>
    <w:rsid w:val="00434FE1"/>
    <w:rsid w:val="00444719"/>
    <w:rsid w:val="00444E15"/>
    <w:rsid w:val="004452D7"/>
    <w:rsid w:val="0044745C"/>
    <w:rsid w:val="00450AC5"/>
    <w:rsid w:val="00451252"/>
    <w:rsid w:val="00455A7F"/>
    <w:rsid w:val="004677C8"/>
    <w:rsid w:val="00480DA9"/>
    <w:rsid w:val="00493F26"/>
    <w:rsid w:val="0049632D"/>
    <w:rsid w:val="00497C0F"/>
    <w:rsid w:val="004A2607"/>
    <w:rsid w:val="004A535A"/>
    <w:rsid w:val="004B11D2"/>
    <w:rsid w:val="004B2F93"/>
    <w:rsid w:val="004C055D"/>
    <w:rsid w:val="004D7666"/>
    <w:rsid w:val="004F1C20"/>
    <w:rsid w:val="00513104"/>
    <w:rsid w:val="0053224C"/>
    <w:rsid w:val="0053530B"/>
    <w:rsid w:val="00535A5E"/>
    <w:rsid w:val="00537E8B"/>
    <w:rsid w:val="005405A0"/>
    <w:rsid w:val="0054613A"/>
    <w:rsid w:val="005677BE"/>
    <w:rsid w:val="005737BA"/>
    <w:rsid w:val="005818C0"/>
    <w:rsid w:val="00585DB8"/>
    <w:rsid w:val="005A5221"/>
    <w:rsid w:val="005B2A7D"/>
    <w:rsid w:val="005B3985"/>
    <w:rsid w:val="005C4D5B"/>
    <w:rsid w:val="005C707F"/>
    <w:rsid w:val="005D0936"/>
    <w:rsid w:val="005D24B3"/>
    <w:rsid w:val="005D28D8"/>
    <w:rsid w:val="005D3F0E"/>
    <w:rsid w:val="006027A4"/>
    <w:rsid w:val="00621C9E"/>
    <w:rsid w:val="00630C00"/>
    <w:rsid w:val="00636797"/>
    <w:rsid w:val="00643ACA"/>
    <w:rsid w:val="00646CCB"/>
    <w:rsid w:val="006575FF"/>
    <w:rsid w:val="00666FC5"/>
    <w:rsid w:val="006739E5"/>
    <w:rsid w:val="0067634B"/>
    <w:rsid w:val="00682B77"/>
    <w:rsid w:val="00694F67"/>
    <w:rsid w:val="00697474"/>
    <w:rsid w:val="006A6334"/>
    <w:rsid w:val="006B12D7"/>
    <w:rsid w:val="006E5183"/>
    <w:rsid w:val="00704CBB"/>
    <w:rsid w:val="0072174A"/>
    <w:rsid w:val="007308A9"/>
    <w:rsid w:val="00737A51"/>
    <w:rsid w:val="00756CA3"/>
    <w:rsid w:val="00760E92"/>
    <w:rsid w:val="007633F7"/>
    <w:rsid w:val="007725F1"/>
    <w:rsid w:val="00792CFF"/>
    <w:rsid w:val="00793E24"/>
    <w:rsid w:val="007952C1"/>
    <w:rsid w:val="007954BA"/>
    <w:rsid w:val="007B2649"/>
    <w:rsid w:val="007B28B8"/>
    <w:rsid w:val="007B39B3"/>
    <w:rsid w:val="007E1C57"/>
    <w:rsid w:val="007E7ED9"/>
    <w:rsid w:val="00810020"/>
    <w:rsid w:val="008104C8"/>
    <w:rsid w:val="00820026"/>
    <w:rsid w:val="00842151"/>
    <w:rsid w:val="00852A14"/>
    <w:rsid w:val="00855BD2"/>
    <w:rsid w:val="00857ACB"/>
    <w:rsid w:val="00866A00"/>
    <w:rsid w:val="00881661"/>
    <w:rsid w:val="008836D9"/>
    <w:rsid w:val="00893B0E"/>
    <w:rsid w:val="00894633"/>
    <w:rsid w:val="008A3D06"/>
    <w:rsid w:val="008A4DAA"/>
    <w:rsid w:val="008B5B86"/>
    <w:rsid w:val="008D0A23"/>
    <w:rsid w:val="008D1209"/>
    <w:rsid w:val="008D47D4"/>
    <w:rsid w:val="008E28DF"/>
    <w:rsid w:val="008F089B"/>
    <w:rsid w:val="008F3675"/>
    <w:rsid w:val="008F4792"/>
    <w:rsid w:val="00926F19"/>
    <w:rsid w:val="00934331"/>
    <w:rsid w:val="00945138"/>
    <w:rsid w:val="009528A1"/>
    <w:rsid w:val="00954F9B"/>
    <w:rsid w:val="0095530E"/>
    <w:rsid w:val="009610A2"/>
    <w:rsid w:val="00963F42"/>
    <w:rsid w:val="0097695E"/>
    <w:rsid w:val="00982810"/>
    <w:rsid w:val="009A0DF8"/>
    <w:rsid w:val="009A597E"/>
    <w:rsid w:val="009A702D"/>
    <w:rsid w:val="009B4422"/>
    <w:rsid w:val="009B791B"/>
    <w:rsid w:val="009C04B0"/>
    <w:rsid w:val="009C1874"/>
    <w:rsid w:val="009C5FF8"/>
    <w:rsid w:val="009C6997"/>
    <w:rsid w:val="009D06FA"/>
    <w:rsid w:val="009E4D47"/>
    <w:rsid w:val="00A063D2"/>
    <w:rsid w:val="00A30887"/>
    <w:rsid w:val="00A34E21"/>
    <w:rsid w:val="00A417CF"/>
    <w:rsid w:val="00A56960"/>
    <w:rsid w:val="00A6016E"/>
    <w:rsid w:val="00AA4C71"/>
    <w:rsid w:val="00AB14FD"/>
    <w:rsid w:val="00AB1E65"/>
    <w:rsid w:val="00AC0A09"/>
    <w:rsid w:val="00AC21E0"/>
    <w:rsid w:val="00AC44E0"/>
    <w:rsid w:val="00AE3A11"/>
    <w:rsid w:val="00AE64B6"/>
    <w:rsid w:val="00AF2E56"/>
    <w:rsid w:val="00B01F5E"/>
    <w:rsid w:val="00B11EFC"/>
    <w:rsid w:val="00B17027"/>
    <w:rsid w:val="00B32F57"/>
    <w:rsid w:val="00B35636"/>
    <w:rsid w:val="00B40BC3"/>
    <w:rsid w:val="00B54D21"/>
    <w:rsid w:val="00B63864"/>
    <w:rsid w:val="00B64EF1"/>
    <w:rsid w:val="00B65BFF"/>
    <w:rsid w:val="00B73803"/>
    <w:rsid w:val="00B77852"/>
    <w:rsid w:val="00B8510B"/>
    <w:rsid w:val="00B86781"/>
    <w:rsid w:val="00B96C2C"/>
    <w:rsid w:val="00BB09DB"/>
    <w:rsid w:val="00BB3D5F"/>
    <w:rsid w:val="00BB5D5E"/>
    <w:rsid w:val="00BC1496"/>
    <w:rsid w:val="00BC3F06"/>
    <w:rsid w:val="00BC7A12"/>
    <w:rsid w:val="00BD6000"/>
    <w:rsid w:val="00C10C45"/>
    <w:rsid w:val="00C12237"/>
    <w:rsid w:val="00C15267"/>
    <w:rsid w:val="00C17308"/>
    <w:rsid w:val="00C210EC"/>
    <w:rsid w:val="00C2223C"/>
    <w:rsid w:val="00C24A1D"/>
    <w:rsid w:val="00C3444B"/>
    <w:rsid w:val="00C45BEC"/>
    <w:rsid w:val="00C679FB"/>
    <w:rsid w:val="00C805B1"/>
    <w:rsid w:val="00C810F3"/>
    <w:rsid w:val="00C877CB"/>
    <w:rsid w:val="00C91385"/>
    <w:rsid w:val="00C9594D"/>
    <w:rsid w:val="00C95F6B"/>
    <w:rsid w:val="00CB3A71"/>
    <w:rsid w:val="00CE0B13"/>
    <w:rsid w:val="00CE345E"/>
    <w:rsid w:val="00CE7764"/>
    <w:rsid w:val="00D006AE"/>
    <w:rsid w:val="00D1721C"/>
    <w:rsid w:val="00D2249C"/>
    <w:rsid w:val="00D261A4"/>
    <w:rsid w:val="00D31114"/>
    <w:rsid w:val="00D42A82"/>
    <w:rsid w:val="00D60EEE"/>
    <w:rsid w:val="00D736B5"/>
    <w:rsid w:val="00D744B0"/>
    <w:rsid w:val="00D75FDB"/>
    <w:rsid w:val="00D944AF"/>
    <w:rsid w:val="00DA75E1"/>
    <w:rsid w:val="00DB05AE"/>
    <w:rsid w:val="00DB2B53"/>
    <w:rsid w:val="00DB475C"/>
    <w:rsid w:val="00DB5CEF"/>
    <w:rsid w:val="00DC3CE6"/>
    <w:rsid w:val="00DC5191"/>
    <w:rsid w:val="00DD21B6"/>
    <w:rsid w:val="00DD3765"/>
    <w:rsid w:val="00DD5553"/>
    <w:rsid w:val="00DE6C7D"/>
    <w:rsid w:val="00DF56D5"/>
    <w:rsid w:val="00E043ED"/>
    <w:rsid w:val="00E24598"/>
    <w:rsid w:val="00E26350"/>
    <w:rsid w:val="00E27459"/>
    <w:rsid w:val="00E36121"/>
    <w:rsid w:val="00E65D59"/>
    <w:rsid w:val="00E723C3"/>
    <w:rsid w:val="00E768B4"/>
    <w:rsid w:val="00E93F7B"/>
    <w:rsid w:val="00EA1887"/>
    <w:rsid w:val="00EA6BAA"/>
    <w:rsid w:val="00EB22BC"/>
    <w:rsid w:val="00EB47BD"/>
    <w:rsid w:val="00EB4908"/>
    <w:rsid w:val="00EC0632"/>
    <w:rsid w:val="00ED0B77"/>
    <w:rsid w:val="00EE6B92"/>
    <w:rsid w:val="00EE7083"/>
    <w:rsid w:val="00EF6E0A"/>
    <w:rsid w:val="00F11EED"/>
    <w:rsid w:val="00F11EFC"/>
    <w:rsid w:val="00F17008"/>
    <w:rsid w:val="00F241B7"/>
    <w:rsid w:val="00F340A3"/>
    <w:rsid w:val="00F36C91"/>
    <w:rsid w:val="00F6063A"/>
    <w:rsid w:val="00F618AE"/>
    <w:rsid w:val="00F64E5D"/>
    <w:rsid w:val="00F84040"/>
    <w:rsid w:val="00F861AC"/>
    <w:rsid w:val="00F87977"/>
    <w:rsid w:val="00FA0B57"/>
    <w:rsid w:val="00FA26E0"/>
    <w:rsid w:val="00FA3926"/>
    <w:rsid w:val="00FA4E64"/>
    <w:rsid w:val="00FB7E44"/>
    <w:rsid w:val="00FC38E1"/>
    <w:rsid w:val="00FC3D02"/>
    <w:rsid w:val="00FC5B70"/>
    <w:rsid w:val="00FD6C9E"/>
    <w:rsid w:val="00FE0128"/>
    <w:rsid w:val="00FF35E6"/>
    <w:rsid w:val="2FF41297"/>
    <w:rsid w:val="34EE3E73"/>
    <w:rsid w:val="61FD7040"/>
    <w:rsid w:val="669C45D2"/>
    <w:rsid w:val="6FF3E043"/>
    <w:rsid w:val="71EFFE21"/>
    <w:rsid w:val="746A5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E58BE2"/>
  <w15:docId w15:val="{1A08F0F7-4B57-49CB-A099-2C7E6647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3">
    <w:name w:val="heading 3"/>
    <w:basedOn w:val="Normal"/>
    <w:next w:val="Normal"/>
    <w:link w:val="Heading3Char"/>
    <w:uiPriority w:val="9"/>
    <w:semiHidden/>
    <w:unhideWhenUsed/>
    <w:qFormat/>
    <w:rsid w:val="008D0A23"/>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Caption">
    <w:name w:val="caption"/>
    <w:basedOn w:val="Normal"/>
    <w:next w:val="Normal"/>
    <w:qFormat/>
    <w:pPr>
      <w:framePr w:w="5371" w:h="1171" w:hRule="exact" w:hSpace="180" w:wrap="auto" w:vAnchor="text" w:hAnchor="page" w:x="2356" w:y="184"/>
      <w:spacing w:line="324" w:lineRule="auto"/>
      <w:jc w:val="center"/>
    </w:pPr>
    <w:rPr>
      <w:rFonts w:ascii="Arial" w:hAnsi="Arial"/>
      <w:sz w:val="36"/>
    </w:rPr>
  </w:style>
  <w:style w:type="character" w:styleId="PageNumber">
    <w:name w:val="page number"/>
    <w:basedOn w:val="DefaultParagraphFont"/>
    <w:semiHidden/>
  </w:style>
  <w:style w:type="paragraph" w:styleId="BodyText">
    <w:name w:val="Body Text"/>
    <w:basedOn w:val="Normal"/>
    <w:semiHidden/>
    <w:rPr>
      <w:sz w:val="24"/>
    </w:rPr>
  </w:style>
  <w:style w:type="character" w:styleId="Hyperlink">
    <w:name w:val="Hyperlink"/>
    <w:semiHidden/>
    <w:rPr>
      <w:color w:val="0000FF"/>
      <w:u w:val="single"/>
    </w:rPr>
  </w:style>
  <w:style w:type="character" w:customStyle="1" w:styleId="ac-bold">
    <w:name w:val="ac-bold"/>
    <w:rsid w:val="008D0A23"/>
    <w:rPr>
      <w:b/>
    </w:rPr>
  </w:style>
  <w:style w:type="paragraph" w:customStyle="1" w:styleId="memolist">
    <w:name w:val="memo list"/>
    <w:basedOn w:val="Heading3"/>
    <w:rsid w:val="008D0A23"/>
    <w:pPr>
      <w:tabs>
        <w:tab w:val="left" w:pos="1440"/>
      </w:tabs>
      <w:spacing w:after="120"/>
    </w:pPr>
    <w:rPr>
      <w:rFonts w:ascii="Trebuchet MS" w:hAnsi="Trebuchet MS" w:cs="Arial"/>
      <w:b w:val="0"/>
      <w:sz w:val="22"/>
    </w:rPr>
  </w:style>
  <w:style w:type="character" w:customStyle="1" w:styleId="Heading3Char">
    <w:name w:val="Heading 3 Char"/>
    <w:link w:val="Heading3"/>
    <w:uiPriority w:val="9"/>
    <w:semiHidden/>
    <w:rsid w:val="008D0A23"/>
    <w:rPr>
      <w:rFonts w:ascii="Calibri Light" w:eastAsia="Times New Roman" w:hAnsi="Calibri Light" w:cs="Times New Roman"/>
      <w:b/>
      <w:bCs/>
      <w:sz w:val="26"/>
      <w:szCs w:val="26"/>
    </w:rPr>
  </w:style>
  <w:style w:type="paragraph" w:styleId="BalloonText">
    <w:name w:val="Balloon Text"/>
    <w:basedOn w:val="Normal"/>
    <w:link w:val="BalloonTextChar"/>
    <w:uiPriority w:val="99"/>
    <w:semiHidden/>
    <w:unhideWhenUsed/>
    <w:rsid w:val="00042193"/>
    <w:rPr>
      <w:rFonts w:ascii="Segoe UI" w:hAnsi="Segoe UI" w:cs="Segoe UI"/>
      <w:sz w:val="18"/>
      <w:szCs w:val="18"/>
    </w:rPr>
  </w:style>
  <w:style w:type="character" w:customStyle="1" w:styleId="BalloonTextChar">
    <w:name w:val="Balloon Text Char"/>
    <w:link w:val="BalloonText"/>
    <w:uiPriority w:val="99"/>
    <w:semiHidden/>
    <w:rsid w:val="00042193"/>
    <w:rPr>
      <w:rFonts w:ascii="Segoe UI" w:hAnsi="Segoe UI" w:cs="Segoe UI"/>
      <w:sz w:val="18"/>
      <w:szCs w:val="18"/>
    </w:rPr>
  </w:style>
  <w:style w:type="paragraph" w:styleId="ListParagraph">
    <w:name w:val="List Paragraph"/>
    <w:basedOn w:val="Normal"/>
    <w:uiPriority w:val="34"/>
    <w:qFormat/>
    <w:rsid w:val="00B8510B"/>
    <w:pPr>
      <w:spacing w:after="240" w:line="300" w:lineRule="auto"/>
      <w:ind w:left="720" w:firstLine="432"/>
      <w:contextualSpacing/>
    </w:pPr>
    <w:rPr>
      <w:rFonts w:ascii="Garamond" w:hAnsi="Garamond"/>
      <w:sz w:val="24"/>
      <w:szCs w:val="24"/>
    </w:rPr>
  </w:style>
  <w:style w:type="paragraph" w:styleId="NormalWeb">
    <w:name w:val="Normal (Web)"/>
    <w:basedOn w:val="Normal"/>
    <w:uiPriority w:val="99"/>
    <w:unhideWhenUsed/>
    <w:rsid w:val="00DD3765"/>
    <w:pPr>
      <w:spacing w:before="100" w:beforeAutospacing="1" w:after="100" w:afterAutospacing="1"/>
    </w:pPr>
    <w:rPr>
      <w:rFonts w:eastAsia="Calibri"/>
      <w:sz w:val="24"/>
      <w:szCs w:val="24"/>
    </w:rPr>
  </w:style>
  <w:style w:type="character" w:styleId="CommentReference">
    <w:name w:val="annotation reference"/>
    <w:basedOn w:val="DefaultParagraphFont"/>
    <w:uiPriority w:val="99"/>
    <w:semiHidden/>
    <w:unhideWhenUsed/>
    <w:rsid w:val="00D736B5"/>
    <w:rPr>
      <w:sz w:val="16"/>
      <w:szCs w:val="16"/>
    </w:rPr>
  </w:style>
  <w:style w:type="paragraph" w:styleId="CommentText">
    <w:name w:val="annotation text"/>
    <w:basedOn w:val="Normal"/>
    <w:link w:val="CommentTextChar"/>
    <w:uiPriority w:val="99"/>
    <w:semiHidden/>
    <w:unhideWhenUsed/>
    <w:rsid w:val="00D736B5"/>
  </w:style>
  <w:style w:type="character" w:customStyle="1" w:styleId="CommentTextChar">
    <w:name w:val="Comment Text Char"/>
    <w:basedOn w:val="DefaultParagraphFont"/>
    <w:link w:val="CommentText"/>
    <w:uiPriority w:val="99"/>
    <w:semiHidden/>
    <w:rsid w:val="00D736B5"/>
  </w:style>
  <w:style w:type="paragraph" w:styleId="CommentSubject">
    <w:name w:val="annotation subject"/>
    <w:basedOn w:val="CommentText"/>
    <w:next w:val="CommentText"/>
    <w:link w:val="CommentSubjectChar"/>
    <w:uiPriority w:val="99"/>
    <w:semiHidden/>
    <w:unhideWhenUsed/>
    <w:rsid w:val="00D736B5"/>
    <w:rPr>
      <w:b/>
      <w:bCs/>
    </w:rPr>
  </w:style>
  <w:style w:type="character" w:customStyle="1" w:styleId="CommentSubjectChar">
    <w:name w:val="Comment Subject Char"/>
    <w:basedOn w:val="CommentTextChar"/>
    <w:link w:val="CommentSubject"/>
    <w:uiPriority w:val="99"/>
    <w:semiHidden/>
    <w:rsid w:val="00D736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469009">
      <w:bodyDiv w:val="1"/>
      <w:marLeft w:val="0"/>
      <w:marRight w:val="0"/>
      <w:marTop w:val="0"/>
      <w:marBottom w:val="0"/>
      <w:divBdr>
        <w:top w:val="none" w:sz="0" w:space="0" w:color="auto"/>
        <w:left w:val="none" w:sz="0" w:space="0" w:color="auto"/>
        <w:bottom w:val="none" w:sz="0" w:space="0" w:color="auto"/>
        <w:right w:val="none" w:sz="0" w:space="0" w:color="auto"/>
      </w:divBdr>
    </w:div>
    <w:div w:id="480661723">
      <w:bodyDiv w:val="1"/>
      <w:marLeft w:val="0"/>
      <w:marRight w:val="0"/>
      <w:marTop w:val="0"/>
      <w:marBottom w:val="0"/>
      <w:divBdr>
        <w:top w:val="none" w:sz="0" w:space="0" w:color="auto"/>
        <w:left w:val="none" w:sz="0" w:space="0" w:color="auto"/>
        <w:bottom w:val="none" w:sz="0" w:space="0" w:color="auto"/>
        <w:right w:val="none" w:sz="0" w:space="0" w:color="auto"/>
      </w:divBdr>
      <w:divsChild>
        <w:div w:id="1155142999">
          <w:marLeft w:val="0"/>
          <w:marRight w:val="0"/>
          <w:marTop w:val="0"/>
          <w:marBottom w:val="0"/>
          <w:divBdr>
            <w:top w:val="none" w:sz="0" w:space="0" w:color="auto"/>
            <w:left w:val="none" w:sz="0" w:space="0" w:color="auto"/>
            <w:bottom w:val="none" w:sz="0" w:space="0" w:color="auto"/>
            <w:right w:val="none" w:sz="0" w:space="0" w:color="auto"/>
          </w:divBdr>
        </w:div>
        <w:div w:id="1183014222">
          <w:marLeft w:val="0"/>
          <w:marRight w:val="0"/>
          <w:marTop w:val="0"/>
          <w:marBottom w:val="0"/>
          <w:divBdr>
            <w:top w:val="none" w:sz="0" w:space="0" w:color="auto"/>
            <w:left w:val="none" w:sz="0" w:space="0" w:color="auto"/>
            <w:bottom w:val="none" w:sz="0" w:space="0" w:color="auto"/>
            <w:right w:val="none" w:sz="0" w:space="0" w:color="auto"/>
          </w:divBdr>
        </w:div>
      </w:divsChild>
    </w:div>
    <w:div w:id="994380790">
      <w:bodyDiv w:val="1"/>
      <w:marLeft w:val="0"/>
      <w:marRight w:val="0"/>
      <w:marTop w:val="0"/>
      <w:marBottom w:val="0"/>
      <w:divBdr>
        <w:top w:val="none" w:sz="0" w:space="0" w:color="auto"/>
        <w:left w:val="none" w:sz="0" w:space="0" w:color="auto"/>
        <w:bottom w:val="none" w:sz="0" w:space="0" w:color="auto"/>
        <w:right w:val="none" w:sz="0" w:space="0" w:color="auto"/>
      </w:divBdr>
    </w:div>
    <w:div w:id="1386414205">
      <w:bodyDiv w:val="1"/>
      <w:marLeft w:val="0"/>
      <w:marRight w:val="0"/>
      <w:marTop w:val="0"/>
      <w:marBottom w:val="0"/>
      <w:divBdr>
        <w:top w:val="none" w:sz="0" w:space="0" w:color="auto"/>
        <w:left w:val="none" w:sz="0" w:space="0" w:color="auto"/>
        <w:bottom w:val="none" w:sz="0" w:space="0" w:color="auto"/>
        <w:right w:val="none" w:sz="0" w:space="0" w:color="auto"/>
      </w:divBdr>
      <w:divsChild>
        <w:div w:id="1412123081">
          <w:marLeft w:val="0"/>
          <w:marRight w:val="0"/>
          <w:marTop w:val="0"/>
          <w:marBottom w:val="0"/>
          <w:divBdr>
            <w:top w:val="none" w:sz="0" w:space="0" w:color="auto"/>
            <w:left w:val="none" w:sz="0" w:space="0" w:color="auto"/>
            <w:bottom w:val="none" w:sz="0" w:space="0" w:color="auto"/>
            <w:right w:val="none" w:sz="0" w:space="0" w:color="auto"/>
          </w:divBdr>
        </w:div>
        <w:div w:id="1586694707">
          <w:marLeft w:val="0"/>
          <w:marRight w:val="0"/>
          <w:marTop w:val="0"/>
          <w:marBottom w:val="0"/>
          <w:divBdr>
            <w:top w:val="none" w:sz="0" w:space="0" w:color="auto"/>
            <w:left w:val="none" w:sz="0" w:space="0" w:color="auto"/>
            <w:bottom w:val="none" w:sz="0" w:space="0" w:color="auto"/>
            <w:right w:val="none" w:sz="0" w:space="0" w:color="auto"/>
          </w:divBdr>
        </w:div>
      </w:divsChild>
    </w:div>
    <w:div w:id="1625963100">
      <w:bodyDiv w:val="1"/>
      <w:marLeft w:val="0"/>
      <w:marRight w:val="0"/>
      <w:marTop w:val="0"/>
      <w:marBottom w:val="0"/>
      <w:divBdr>
        <w:top w:val="none" w:sz="0" w:space="0" w:color="auto"/>
        <w:left w:val="none" w:sz="0" w:space="0" w:color="auto"/>
        <w:bottom w:val="none" w:sz="0" w:space="0" w:color="auto"/>
        <w:right w:val="none" w:sz="0" w:space="0" w:color="auto"/>
      </w:divBdr>
    </w:div>
    <w:div w:id="194407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6324.AA8154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B0E6B-0711-4BC6-9DEA-C96499B76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1769</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April 14, 2003</vt:lpstr>
    </vt:vector>
  </TitlesOfParts>
  <Company>City of Portland</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14, 2003</dc:title>
  <dc:creator>Bureau of Planning</dc:creator>
  <cp:lastModifiedBy>Nielsen, Benjamin</cp:lastModifiedBy>
  <cp:revision>4</cp:revision>
  <cp:lastPrinted>2018-05-03T20:54:00Z</cp:lastPrinted>
  <dcterms:created xsi:type="dcterms:W3CDTF">2018-05-15T23:05:00Z</dcterms:created>
  <dcterms:modified xsi:type="dcterms:W3CDTF">2018-05-15T23:37:00Z</dcterms:modified>
</cp:coreProperties>
</file>